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7" w:type="dxa"/>
        <w:tblLook w:val="0000" w:firstRow="0" w:lastRow="0" w:firstColumn="0" w:lastColumn="0" w:noHBand="0" w:noVBand="0"/>
      </w:tblPr>
      <w:tblGrid>
        <w:gridCol w:w="3461"/>
        <w:gridCol w:w="5061"/>
        <w:gridCol w:w="15"/>
      </w:tblGrid>
      <w:tr w:rsidR="00C119A2" w:rsidRPr="007D7E0B" w:rsidTr="003F6570">
        <w:trPr>
          <w:trHeight w:val="1549"/>
        </w:trPr>
        <w:tc>
          <w:tcPr>
            <w:tcW w:w="8537"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5E15E8"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44E5B46" wp14:editId="3D10697E">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rsidTr="003F6570">
        <w:trPr>
          <w:gridAfter w:val="1"/>
          <w:wAfter w:w="15" w:type="dxa"/>
          <w:trHeight w:val="1029"/>
        </w:trPr>
        <w:tc>
          <w:tcPr>
            <w:tcW w:w="3461"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61"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rsidTr="003F6570">
        <w:trPr>
          <w:gridAfter w:val="1"/>
          <w:wAfter w:w="15" w:type="dxa"/>
          <w:trHeight w:val="793"/>
        </w:trPr>
        <w:tc>
          <w:tcPr>
            <w:tcW w:w="3461"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r w:rsidR="003F6570">
              <w:rPr>
                <w:rFonts w:ascii="Arial Black" w:hAnsi="Arial Black"/>
              </w:rPr>
              <w:tab/>
            </w:r>
          </w:p>
          <w:p w:rsidR="00333FAA" w:rsidRPr="00C13A5F" w:rsidRDefault="00333FAA" w:rsidP="00A53B04">
            <w:pPr>
              <w:pStyle w:val="Infotext"/>
              <w:rPr>
                <w:rFonts w:ascii="Arial Black" w:hAnsi="Arial Black" w:cs="Arial"/>
              </w:rPr>
            </w:pPr>
          </w:p>
        </w:tc>
        <w:tc>
          <w:tcPr>
            <w:tcW w:w="5061" w:type="dxa"/>
            <w:tcBorders>
              <w:top w:val="single" w:sz="18" w:space="0" w:color="auto"/>
            </w:tcBorders>
          </w:tcPr>
          <w:p w:rsidR="003F6570" w:rsidRDefault="003F6570" w:rsidP="00A53B04">
            <w:pPr>
              <w:rPr>
                <w:rFonts w:cs="Arial"/>
                <w:sz w:val="6"/>
                <w:szCs w:val="6"/>
              </w:rPr>
            </w:pPr>
          </w:p>
          <w:p w:rsidR="00333FAA" w:rsidRPr="005E3A10" w:rsidRDefault="008E533D" w:rsidP="00A53B04">
            <w:pPr>
              <w:rPr>
                <w:rFonts w:cs="Arial"/>
                <w:szCs w:val="24"/>
              </w:rPr>
            </w:pPr>
            <w:r>
              <w:rPr>
                <w:rFonts w:cs="Arial"/>
                <w:szCs w:val="24"/>
              </w:rPr>
              <w:t>19</w:t>
            </w:r>
            <w:r w:rsidRPr="008E533D">
              <w:rPr>
                <w:rFonts w:cs="Arial"/>
                <w:szCs w:val="24"/>
                <w:vertAlign w:val="superscript"/>
              </w:rPr>
              <w:t>th</w:t>
            </w:r>
            <w:r>
              <w:rPr>
                <w:rFonts w:cs="Arial"/>
                <w:szCs w:val="24"/>
              </w:rPr>
              <w:t xml:space="preserve"> March 2020</w:t>
            </w:r>
          </w:p>
        </w:tc>
      </w:tr>
      <w:tr w:rsidR="00333FAA" w:rsidTr="003F6570">
        <w:trPr>
          <w:gridAfter w:val="1"/>
          <w:wAfter w:w="15" w:type="dxa"/>
          <w:trHeight w:val="805"/>
        </w:trPr>
        <w:tc>
          <w:tcPr>
            <w:tcW w:w="3461"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61" w:type="dxa"/>
          </w:tcPr>
          <w:p w:rsidR="003F6570" w:rsidRDefault="003F6570" w:rsidP="008E533D">
            <w:pPr>
              <w:rPr>
                <w:rFonts w:cs="Arial"/>
                <w:sz w:val="6"/>
                <w:szCs w:val="6"/>
              </w:rPr>
            </w:pPr>
          </w:p>
          <w:p w:rsidR="00333FAA" w:rsidRPr="005E3A10" w:rsidRDefault="008E533D" w:rsidP="008E533D">
            <w:pPr>
              <w:rPr>
                <w:rFonts w:cs="Arial"/>
                <w:szCs w:val="24"/>
              </w:rPr>
            </w:pPr>
            <w:r>
              <w:rPr>
                <w:rFonts w:cs="Arial"/>
                <w:szCs w:val="24"/>
              </w:rPr>
              <w:t xml:space="preserve">The Climate and Ecological Emergency – Interim Strategy and Action Plan </w:t>
            </w:r>
          </w:p>
        </w:tc>
      </w:tr>
      <w:tr w:rsidR="00333FAA" w:rsidTr="003F6570">
        <w:trPr>
          <w:gridAfter w:val="1"/>
          <w:wAfter w:w="15" w:type="dxa"/>
          <w:trHeight w:val="1686"/>
        </w:trPr>
        <w:tc>
          <w:tcPr>
            <w:tcW w:w="3461"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61" w:type="dxa"/>
          </w:tcPr>
          <w:p w:rsidR="003F6570" w:rsidRDefault="003F6570" w:rsidP="001C7E35">
            <w:pPr>
              <w:pStyle w:val="Infotext"/>
              <w:rPr>
                <w:rFonts w:cs="Arial"/>
                <w:sz w:val="6"/>
                <w:szCs w:val="6"/>
              </w:rPr>
            </w:pPr>
          </w:p>
          <w:p w:rsidR="00397FF0" w:rsidRDefault="008E533D" w:rsidP="001C7E35">
            <w:pPr>
              <w:pStyle w:val="Infotext"/>
              <w:rPr>
                <w:rFonts w:cs="Arial"/>
                <w:sz w:val="24"/>
                <w:szCs w:val="24"/>
              </w:rPr>
            </w:pPr>
            <w:r>
              <w:rPr>
                <w:rFonts w:cs="Arial"/>
                <w:sz w:val="24"/>
                <w:szCs w:val="24"/>
              </w:rPr>
              <w:t>Yes</w:t>
            </w:r>
          </w:p>
          <w:p w:rsidR="00397FF0" w:rsidRDefault="00397FF0" w:rsidP="001C7E35">
            <w:pPr>
              <w:pStyle w:val="Infotext"/>
              <w:rPr>
                <w:rFonts w:cs="Arial"/>
                <w:sz w:val="24"/>
                <w:szCs w:val="24"/>
              </w:rPr>
            </w:pPr>
          </w:p>
          <w:p w:rsidR="008E533D" w:rsidRDefault="00397FF0" w:rsidP="001C7E35">
            <w:pPr>
              <w:pStyle w:val="Infotext"/>
              <w:rPr>
                <w:rFonts w:cs="Arial"/>
                <w:sz w:val="24"/>
                <w:szCs w:val="24"/>
              </w:rPr>
            </w:pPr>
            <w:r>
              <w:rPr>
                <w:rFonts w:cs="Arial"/>
                <w:sz w:val="24"/>
                <w:szCs w:val="24"/>
              </w:rPr>
              <w:t>T</w:t>
            </w:r>
            <w:r w:rsidR="008E533D">
              <w:rPr>
                <w:rFonts w:cs="Arial"/>
                <w:sz w:val="24"/>
                <w:szCs w:val="24"/>
              </w:rPr>
              <w:t xml:space="preserve">he impact is significant </w:t>
            </w:r>
            <w:r w:rsidR="006C5449">
              <w:rPr>
                <w:rFonts w:cs="Arial"/>
                <w:sz w:val="24"/>
                <w:szCs w:val="24"/>
              </w:rPr>
              <w:t xml:space="preserve">in terms of its effects on communities living or working in </w:t>
            </w:r>
            <w:r>
              <w:rPr>
                <w:rFonts w:cs="Arial"/>
                <w:sz w:val="24"/>
                <w:szCs w:val="24"/>
              </w:rPr>
              <w:t>all wards</w:t>
            </w:r>
          </w:p>
          <w:p w:rsidR="008E533D" w:rsidRDefault="008E533D" w:rsidP="001C7E35">
            <w:pPr>
              <w:pStyle w:val="Infotext"/>
              <w:rPr>
                <w:rFonts w:cs="Arial"/>
                <w:sz w:val="24"/>
                <w:szCs w:val="24"/>
              </w:rPr>
            </w:pPr>
          </w:p>
          <w:p w:rsidR="00333FAA" w:rsidRPr="005E3A10" w:rsidRDefault="00333FAA" w:rsidP="00A53B04">
            <w:pPr>
              <w:rPr>
                <w:rFonts w:cs="Arial"/>
                <w:szCs w:val="24"/>
              </w:rPr>
            </w:pPr>
          </w:p>
        </w:tc>
      </w:tr>
      <w:tr w:rsidR="001C7E35" w:rsidTr="003F6570">
        <w:trPr>
          <w:gridAfter w:val="1"/>
          <w:wAfter w:w="15" w:type="dxa"/>
          <w:trHeight w:val="986"/>
        </w:trPr>
        <w:tc>
          <w:tcPr>
            <w:tcW w:w="3461"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61" w:type="dxa"/>
          </w:tcPr>
          <w:p w:rsidR="003F6570" w:rsidRDefault="003F6570" w:rsidP="00D835CF">
            <w:pPr>
              <w:pStyle w:val="Infotext"/>
              <w:rPr>
                <w:rFonts w:cs="Arial"/>
                <w:sz w:val="6"/>
                <w:szCs w:val="6"/>
              </w:rPr>
            </w:pPr>
          </w:p>
          <w:p w:rsidR="001C7E35" w:rsidRPr="005E3A10" w:rsidRDefault="008E533D" w:rsidP="00D835CF">
            <w:pPr>
              <w:pStyle w:val="Infotext"/>
              <w:rPr>
                <w:rFonts w:cs="Arial"/>
                <w:sz w:val="24"/>
                <w:szCs w:val="24"/>
              </w:rPr>
            </w:pPr>
            <w:r>
              <w:rPr>
                <w:rFonts w:cs="Arial"/>
                <w:sz w:val="24"/>
                <w:szCs w:val="24"/>
              </w:rPr>
              <w:t>Paul Walker, Corporate Director - Community</w:t>
            </w:r>
          </w:p>
          <w:p w:rsidR="001C7E35" w:rsidRPr="005E3A10" w:rsidRDefault="001C7E35" w:rsidP="00D835CF">
            <w:pPr>
              <w:pStyle w:val="Infotext"/>
              <w:rPr>
                <w:rFonts w:cs="Arial"/>
                <w:sz w:val="24"/>
                <w:szCs w:val="24"/>
              </w:rPr>
            </w:pPr>
          </w:p>
        </w:tc>
      </w:tr>
      <w:tr w:rsidR="001C7E35" w:rsidTr="003F6570">
        <w:trPr>
          <w:gridAfter w:val="1"/>
          <w:wAfter w:w="15" w:type="dxa"/>
          <w:trHeight w:val="743"/>
        </w:trPr>
        <w:tc>
          <w:tcPr>
            <w:tcW w:w="3461"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61" w:type="dxa"/>
          </w:tcPr>
          <w:p w:rsidR="003F6570" w:rsidRPr="005A7C7B" w:rsidRDefault="003F6570" w:rsidP="00D835CF">
            <w:pPr>
              <w:pStyle w:val="Infotext"/>
              <w:rPr>
                <w:rFonts w:cs="Arial"/>
                <w:color w:val="000000" w:themeColor="text1"/>
                <w:sz w:val="6"/>
                <w:szCs w:val="6"/>
              </w:rPr>
            </w:pPr>
          </w:p>
          <w:p w:rsidR="001C7E35" w:rsidRPr="005A7C7B" w:rsidRDefault="008D2C5E" w:rsidP="00312AC6">
            <w:pPr>
              <w:pStyle w:val="Infotext"/>
              <w:rPr>
                <w:rFonts w:cs="Arial"/>
                <w:color w:val="FF0000"/>
                <w:sz w:val="24"/>
                <w:szCs w:val="24"/>
              </w:rPr>
            </w:pPr>
            <w:r w:rsidRPr="008D2C5E">
              <w:rPr>
                <w:rFonts w:cs="Arial"/>
                <w:color w:val="000000" w:themeColor="text1"/>
                <w:sz w:val="24"/>
                <w:szCs w:val="24"/>
              </w:rPr>
              <w:t>Councillor Graham Henson, Leader and Portfolio Holder for Strategy, Partnerships, Devolution &amp; Customer Services</w:t>
            </w:r>
          </w:p>
        </w:tc>
      </w:tr>
      <w:tr w:rsidR="001C7E35" w:rsidTr="003F6570">
        <w:trPr>
          <w:gridAfter w:val="1"/>
          <w:wAfter w:w="15" w:type="dxa"/>
          <w:trHeight w:val="843"/>
        </w:trPr>
        <w:tc>
          <w:tcPr>
            <w:tcW w:w="3461" w:type="dxa"/>
          </w:tcPr>
          <w:p w:rsidR="008D2C5E" w:rsidRDefault="008D2C5E" w:rsidP="00DB6C3D">
            <w:pPr>
              <w:pStyle w:val="Infotext"/>
              <w:rPr>
                <w:rFonts w:ascii="Arial Black" w:hAnsi="Arial Black"/>
              </w:rPr>
            </w:pPr>
          </w:p>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61" w:type="dxa"/>
          </w:tcPr>
          <w:p w:rsidR="003F6570" w:rsidRDefault="003F6570" w:rsidP="00D835CF">
            <w:pPr>
              <w:pStyle w:val="Infotext"/>
              <w:rPr>
                <w:rFonts w:cs="Arial"/>
                <w:sz w:val="6"/>
                <w:szCs w:val="6"/>
              </w:rPr>
            </w:pPr>
          </w:p>
          <w:p w:rsidR="008D2C5E" w:rsidRDefault="008D2C5E" w:rsidP="00D835CF">
            <w:pPr>
              <w:pStyle w:val="Infotext"/>
              <w:rPr>
                <w:rFonts w:cs="Arial"/>
                <w:sz w:val="24"/>
                <w:szCs w:val="24"/>
              </w:rPr>
            </w:pPr>
          </w:p>
          <w:p w:rsidR="001C7E35" w:rsidRPr="005E3A10" w:rsidRDefault="001C7E35" w:rsidP="00D835CF">
            <w:pPr>
              <w:pStyle w:val="Infotext"/>
              <w:rPr>
                <w:rFonts w:cs="Arial"/>
                <w:sz w:val="24"/>
                <w:szCs w:val="24"/>
              </w:rPr>
            </w:pPr>
            <w:bookmarkStart w:id="0" w:name="_GoBack"/>
            <w:bookmarkEnd w:id="0"/>
            <w:r w:rsidRPr="005E3A10">
              <w:rPr>
                <w:rFonts w:cs="Arial"/>
                <w:sz w:val="24"/>
                <w:szCs w:val="24"/>
              </w:rPr>
              <w:t>No</w:t>
            </w:r>
          </w:p>
          <w:p w:rsidR="001C7E35" w:rsidRPr="005E3A10" w:rsidRDefault="001C7E35" w:rsidP="00D835CF">
            <w:pPr>
              <w:pStyle w:val="Infotext"/>
              <w:rPr>
                <w:rFonts w:cs="Arial"/>
                <w:color w:val="FF0000"/>
                <w:sz w:val="24"/>
                <w:szCs w:val="24"/>
              </w:rPr>
            </w:pPr>
          </w:p>
          <w:p w:rsidR="001C7E35" w:rsidRPr="005E3A10" w:rsidRDefault="001C7E35" w:rsidP="00D835CF">
            <w:pPr>
              <w:pStyle w:val="Infotext"/>
              <w:rPr>
                <w:rFonts w:cs="Arial"/>
                <w:color w:val="FF0000"/>
                <w:sz w:val="24"/>
                <w:szCs w:val="24"/>
              </w:rPr>
            </w:pPr>
          </w:p>
        </w:tc>
      </w:tr>
      <w:tr w:rsidR="001C7E35" w:rsidTr="003F6570">
        <w:trPr>
          <w:gridAfter w:val="1"/>
          <w:wAfter w:w="15" w:type="dxa"/>
          <w:trHeight w:val="1153"/>
        </w:trPr>
        <w:tc>
          <w:tcPr>
            <w:tcW w:w="3461"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61" w:type="dxa"/>
          </w:tcPr>
          <w:p w:rsidR="003F6570" w:rsidRDefault="003F6570" w:rsidP="00D835CF">
            <w:pPr>
              <w:pStyle w:val="Infotext"/>
              <w:rPr>
                <w:rFonts w:cs="Arial"/>
                <w:sz w:val="6"/>
                <w:szCs w:val="6"/>
              </w:rPr>
            </w:pPr>
          </w:p>
          <w:p w:rsidR="001C7E35" w:rsidRPr="005E3A10" w:rsidRDefault="001C7E35" w:rsidP="00D835CF">
            <w:pPr>
              <w:pStyle w:val="Infotext"/>
              <w:rPr>
                <w:rFonts w:cs="Arial"/>
                <w:sz w:val="24"/>
                <w:szCs w:val="24"/>
              </w:rPr>
            </w:pPr>
            <w:r w:rsidRPr="005E3A10">
              <w:rPr>
                <w:rFonts w:cs="Arial"/>
                <w:sz w:val="24"/>
                <w:szCs w:val="24"/>
              </w:rPr>
              <w:t>Yes</w:t>
            </w:r>
          </w:p>
          <w:p w:rsidR="001C7E35" w:rsidRPr="005E3A10" w:rsidRDefault="001C7E35" w:rsidP="00D835CF">
            <w:pPr>
              <w:rPr>
                <w:rFonts w:cs="Arial"/>
                <w:szCs w:val="24"/>
              </w:rPr>
            </w:pPr>
          </w:p>
          <w:p w:rsidR="00714BEE" w:rsidRPr="005E3A10" w:rsidRDefault="00714BEE" w:rsidP="00D835CF">
            <w:pPr>
              <w:rPr>
                <w:rFonts w:cs="Arial"/>
                <w:szCs w:val="24"/>
              </w:rPr>
            </w:pPr>
          </w:p>
        </w:tc>
      </w:tr>
      <w:tr w:rsidR="001C7E35" w:rsidTr="003F6570">
        <w:trPr>
          <w:gridAfter w:val="1"/>
          <w:wAfter w:w="15" w:type="dxa"/>
          <w:trHeight w:val="793"/>
        </w:trPr>
        <w:tc>
          <w:tcPr>
            <w:tcW w:w="3461"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61" w:type="dxa"/>
          </w:tcPr>
          <w:p w:rsidR="003F6570" w:rsidRDefault="003F6570" w:rsidP="008E533D">
            <w:pPr>
              <w:rPr>
                <w:rFonts w:cs="Arial"/>
                <w:sz w:val="6"/>
                <w:szCs w:val="6"/>
              </w:rPr>
            </w:pPr>
          </w:p>
          <w:p w:rsidR="00307F76" w:rsidRPr="00307F76" w:rsidRDefault="008E533D" w:rsidP="008E533D">
            <w:pPr>
              <w:rPr>
                <w:rFonts w:cs="Arial"/>
                <w:b/>
                <w:color w:val="FF0000"/>
                <w:szCs w:val="24"/>
              </w:rPr>
            </w:pPr>
            <w:r>
              <w:rPr>
                <w:rFonts w:cs="Arial"/>
                <w:szCs w:val="24"/>
              </w:rPr>
              <w:t>All</w:t>
            </w:r>
          </w:p>
        </w:tc>
      </w:tr>
      <w:tr w:rsidR="001C7E35" w:rsidTr="003F6570">
        <w:trPr>
          <w:gridAfter w:val="1"/>
          <w:wAfter w:w="15" w:type="dxa"/>
          <w:trHeight w:val="805"/>
        </w:trPr>
        <w:tc>
          <w:tcPr>
            <w:tcW w:w="3461"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61" w:type="dxa"/>
          </w:tcPr>
          <w:p w:rsidR="003F6570" w:rsidRDefault="003F6570" w:rsidP="00DB6C3D">
            <w:pPr>
              <w:pStyle w:val="Infotext"/>
              <w:rPr>
                <w:color w:val="000000" w:themeColor="text1"/>
                <w:sz w:val="6"/>
                <w:szCs w:val="6"/>
              </w:rPr>
            </w:pPr>
          </w:p>
          <w:p w:rsidR="001C7E35" w:rsidRPr="005E3A10" w:rsidRDefault="00BE56CE" w:rsidP="00DB6C3D">
            <w:pPr>
              <w:pStyle w:val="Infotext"/>
              <w:rPr>
                <w:color w:val="FF0000"/>
                <w:sz w:val="24"/>
                <w:szCs w:val="24"/>
              </w:rPr>
            </w:pPr>
            <w:r>
              <w:rPr>
                <w:color w:val="000000" w:themeColor="text1"/>
                <w:sz w:val="24"/>
                <w:szCs w:val="24"/>
              </w:rPr>
              <w:t xml:space="preserve">Appendix: </w:t>
            </w:r>
            <w:r w:rsidR="008E533D" w:rsidRPr="008E533D">
              <w:rPr>
                <w:color w:val="000000" w:themeColor="text1"/>
                <w:sz w:val="24"/>
                <w:szCs w:val="24"/>
              </w:rPr>
              <w:t>Interim Strategy and Action Plan</w:t>
            </w:r>
          </w:p>
        </w:tc>
      </w:tr>
    </w:tbl>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B06C48" w:rsidRDefault="00B06C48" w:rsidP="0054590F">
            <w:pPr>
              <w:rPr>
                <w:color w:val="000000" w:themeColor="text1"/>
              </w:rPr>
            </w:pPr>
          </w:p>
          <w:p w:rsidR="001C7E35" w:rsidRDefault="001C7E35" w:rsidP="0054590F">
            <w:pPr>
              <w:rPr>
                <w:color w:val="000000" w:themeColor="text1"/>
              </w:rPr>
            </w:pPr>
            <w:r w:rsidRPr="008E533D">
              <w:rPr>
                <w:color w:val="000000" w:themeColor="text1"/>
              </w:rPr>
              <w:t>This report sets out</w:t>
            </w:r>
            <w:r w:rsidR="00DB6C3D" w:rsidRPr="008E533D">
              <w:rPr>
                <w:color w:val="000000" w:themeColor="text1"/>
              </w:rPr>
              <w:t xml:space="preserve"> </w:t>
            </w:r>
            <w:r w:rsidR="008E533D" w:rsidRPr="008E533D">
              <w:rPr>
                <w:color w:val="000000" w:themeColor="text1"/>
              </w:rPr>
              <w:t>for approval the Council’s I</w:t>
            </w:r>
            <w:r w:rsidR="008E533D">
              <w:rPr>
                <w:color w:val="000000" w:themeColor="text1"/>
              </w:rPr>
              <w:t>nterim Strategy and Action Plan</w:t>
            </w:r>
            <w:r w:rsidR="008E533D" w:rsidRPr="008E533D">
              <w:rPr>
                <w:color w:val="000000" w:themeColor="text1"/>
              </w:rPr>
              <w:t xml:space="preserve"> prepared in response to the Council’s Climate Emergency </w:t>
            </w:r>
            <w:r w:rsidR="00117160" w:rsidRPr="008E533D">
              <w:rPr>
                <w:color w:val="000000" w:themeColor="text1"/>
              </w:rPr>
              <w:t>Declaration</w:t>
            </w:r>
            <w:r w:rsidR="00117160">
              <w:rPr>
                <w:color w:val="000000" w:themeColor="text1"/>
              </w:rPr>
              <w:t>, which</w:t>
            </w:r>
            <w:r w:rsidR="00C01F6D">
              <w:rPr>
                <w:color w:val="000000" w:themeColor="text1"/>
              </w:rPr>
              <w:t xml:space="preserve"> was </w:t>
            </w:r>
            <w:r w:rsidR="008E533D">
              <w:rPr>
                <w:color w:val="000000" w:themeColor="text1"/>
              </w:rPr>
              <w:t xml:space="preserve">previously </w:t>
            </w:r>
            <w:r w:rsidR="008E533D" w:rsidRPr="008E533D">
              <w:rPr>
                <w:color w:val="000000" w:themeColor="text1"/>
              </w:rPr>
              <w:t>referred to Cabinet in September 2019.</w:t>
            </w:r>
          </w:p>
          <w:p w:rsidR="00B15DDD" w:rsidRDefault="00B15DDD" w:rsidP="001C7E35">
            <w:pPr>
              <w:pStyle w:val="Heading2"/>
            </w:pPr>
          </w:p>
          <w:p w:rsidR="00B15DDD" w:rsidRDefault="00B15DDD" w:rsidP="001C7E35">
            <w:pPr>
              <w:pStyle w:val="Heading2"/>
            </w:pPr>
          </w:p>
          <w:p w:rsidR="00F73212" w:rsidRDefault="00F73212" w:rsidP="001C7E35">
            <w:pPr>
              <w:pStyle w:val="Heading2"/>
            </w:pPr>
          </w:p>
          <w:p w:rsidR="001C7E35" w:rsidRDefault="001C7E35" w:rsidP="001C7E35">
            <w:pPr>
              <w:pStyle w:val="Heading2"/>
            </w:pPr>
            <w:r>
              <w:t xml:space="preserve">Recommendations: </w:t>
            </w:r>
          </w:p>
          <w:p w:rsidR="00A80041" w:rsidRDefault="00A80041" w:rsidP="0054590F"/>
          <w:p w:rsidR="001C7E35" w:rsidRDefault="001C7E35" w:rsidP="0054590F">
            <w:r>
              <w:t>Cabinet is requested to:</w:t>
            </w:r>
          </w:p>
          <w:p w:rsidR="008E533D" w:rsidRDefault="008E533D" w:rsidP="001C7E35"/>
          <w:p w:rsidR="00C07210" w:rsidRPr="005A7C7B" w:rsidRDefault="00BE56CE" w:rsidP="00C07210">
            <w:pPr>
              <w:pStyle w:val="ListParagraph"/>
              <w:numPr>
                <w:ilvl w:val="0"/>
                <w:numId w:val="11"/>
              </w:numPr>
              <w:rPr>
                <w:color w:val="FF0000"/>
              </w:rPr>
            </w:pPr>
            <w:r>
              <w:t>Approve the Interim Strategy and Action Plan appended to this report,</w:t>
            </w:r>
            <w:r w:rsidR="00C07210">
              <w:t xml:space="preserve"> noting that those projects requiring </w:t>
            </w:r>
            <w:r w:rsidR="001D596A">
              <w:t xml:space="preserve">additional </w:t>
            </w:r>
            <w:r w:rsidR="00C07210">
              <w:t>resources are subject to an approved business case prior to commencement.</w:t>
            </w:r>
          </w:p>
          <w:p w:rsidR="00C07210" w:rsidRPr="005A7C7B" w:rsidRDefault="00C07210" w:rsidP="005A7C7B">
            <w:pPr>
              <w:pStyle w:val="ListParagraph"/>
              <w:rPr>
                <w:color w:val="FF0000"/>
              </w:rPr>
            </w:pPr>
          </w:p>
          <w:p w:rsidR="00117160" w:rsidRPr="005A7C7B" w:rsidRDefault="00C07210" w:rsidP="005A7C7B">
            <w:pPr>
              <w:pStyle w:val="ListParagraph"/>
              <w:numPr>
                <w:ilvl w:val="0"/>
                <w:numId w:val="11"/>
              </w:numPr>
              <w:ind w:left="709" w:hanging="349"/>
              <w:rPr>
                <w:color w:val="FF0000"/>
              </w:rPr>
            </w:pPr>
            <w:r w:rsidRPr="005A7C7B">
              <w:rPr>
                <w:color w:val="000000" w:themeColor="text1"/>
              </w:rPr>
              <w:t xml:space="preserve">Note </w:t>
            </w:r>
            <w:r w:rsidR="00BE56CE" w:rsidRPr="005A7C7B">
              <w:rPr>
                <w:color w:val="000000" w:themeColor="text1"/>
              </w:rPr>
              <w:t>t</w:t>
            </w:r>
            <w:r w:rsidR="00BE56CE">
              <w:t xml:space="preserve">he </w:t>
            </w:r>
            <w:r w:rsidR="00B06C48">
              <w:t xml:space="preserve">initial </w:t>
            </w:r>
            <w:r w:rsidR="00BE56CE">
              <w:t xml:space="preserve">resourcing requirements set out at paragraph </w:t>
            </w:r>
            <w:r w:rsidR="00EA2F88">
              <w:t>4.10</w:t>
            </w:r>
            <w:r w:rsidR="00312AC6">
              <w:t xml:space="preserve"> of the report</w:t>
            </w:r>
            <w:r w:rsidR="00BE56CE">
              <w:t>.</w:t>
            </w:r>
          </w:p>
          <w:p w:rsidR="00B06C48" w:rsidRPr="00117160" w:rsidRDefault="00B06C48" w:rsidP="00B06C48">
            <w:pPr>
              <w:pStyle w:val="ListParagraph"/>
              <w:rPr>
                <w:color w:val="FF0000"/>
              </w:rPr>
            </w:pPr>
          </w:p>
          <w:p w:rsidR="00BE56CE" w:rsidRPr="00BE56CE" w:rsidRDefault="00C61E92" w:rsidP="00166238">
            <w:pPr>
              <w:pStyle w:val="ListParagraph"/>
              <w:numPr>
                <w:ilvl w:val="0"/>
                <w:numId w:val="11"/>
              </w:numPr>
              <w:rPr>
                <w:color w:val="FF0000"/>
              </w:rPr>
            </w:pPr>
            <w:r>
              <w:t xml:space="preserve">Note </w:t>
            </w:r>
            <w:r w:rsidR="00117160">
              <w:t xml:space="preserve">the wider ecological implications of the </w:t>
            </w:r>
            <w:r w:rsidR="00F913B1">
              <w:t>human-</w:t>
            </w:r>
            <w:r w:rsidR="000B48D9">
              <w:t>induced changes that are occurring to our climate</w:t>
            </w:r>
            <w:r w:rsidR="007E1AB3">
              <w:t>.</w:t>
            </w:r>
          </w:p>
          <w:p w:rsidR="00BE56CE" w:rsidRPr="00117160" w:rsidRDefault="00BE56CE" w:rsidP="00117160">
            <w:pPr>
              <w:ind w:left="360"/>
              <w:rPr>
                <w:color w:val="FF0000"/>
              </w:rPr>
            </w:pPr>
          </w:p>
          <w:p w:rsidR="00591016" w:rsidRPr="00A80041" w:rsidRDefault="00D64383" w:rsidP="00166238">
            <w:pPr>
              <w:pStyle w:val="ListParagraph"/>
              <w:numPr>
                <w:ilvl w:val="0"/>
                <w:numId w:val="11"/>
              </w:numPr>
              <w:rPr>
                <w:color w:val="FF0000"/>
              </w:rPr>
            </w:pPr>
            <w:r>
              <w:t xml:space="preserve">Note </w:t>
            </w:r>
            <w:r w:rsidR="00BE56CE">
              <w:t xml:space="preserve">the scale and </w:t>
            </w:r>
            <w:r w:rsidR="00DB7B3B">
              <w:t xml:space="preserve">pace of </w:t>
            </w:r>
            <w:r w:rsidR="00F93F5F">
              <w:t xml:space="preserve">transformation needed across both the </w:t>
            </w:r>
            <w:r w:rsidR="00DB7B3B">
              <w:t xml:space="preserve">organisation and </w:t>
            </w:r>
            <w:r w:rsidR="00F93F5F">
              <w:t xml:space="preserve">the borough </w:t>
            </w:r>
            <w:r w:rsidR="007E1AB3">
              <w:t xml:space="preserve">as a whole </w:t>
            </w:r>
            <w:r w:rsidR="00F93F5F">
              <w:t>in order</w:t>
            </w:r>
            <w:r w:rsidR="00DB7B3B">
              <w:t xml:space="preserve"> </w:t>
            </w:r>
            <w:r w:rsidR="00BE56CE">
              <w:t xml:space="preserve">to </w:t>
            </w:r>
            <w:r w:rsidR="000E49E9">
              <w:t xml:space="preserve">address </w:t>
            </w:r>
            <w:r w:rsidR="00117160">
              <w:t>the 2030 target</w:t>
            </w:r>
            <w:r w:rsidR="000E49E9">
              <w:t xml:space="preserve"> date for carbon neutrality</w:t>
            </w:r>
            <w:r w:rsidR="00163E68">
              <w:t>.</w:t>
            </w:r>
          </w:p>
          <w:p w:rsidR="00A80041" w:rsidRPr="00FD5752" w:rsidRDefault="00A80041" w:rsidP="00A80041">
            <w:pPr>
              <w:pStyle w:val="ListParagraph"/>
            </w:pPr>
          </w:p>
          <w:p w:rsidR="00A80041" w:rsidRPr="00FD5752" w:rsidRDefault="00D64383" w:rsidP="00166238">
            <w:pPr>
              <w:pStyle w:val="ListParagraph"/>
              <w:numPr>
                <w:ilvl w:val="0"/>
                <w:numId w:val="11"/>
              </w:numPr>
            </w:pPr>
            <w:r w:rsidRPr="00FD5752">
              <w:t xml:space="preserve">Note </w:t>
            </w:r>
            <w:r w:rsidR="00A80041" w:rsidRPr="00FD5752">
              <w:t xml:space="preserve">that whilst the Council will provide local leadership, </w:t>
            </w:r>
            <w:r w:rsidR="00FD5752">
              <w:t xml:space="preserve">moving towards </w:t>
            </w:r>
            <w:r w:rsidR="00A80041" w:rsidRPr="00FD5752">
              <w:t>carbon neutrality for the borough as a whole involves major systems change and requires the combined action of national, regional, and local government, togethe</w:t>
            </w:r>
            <w:r w:rsidR="007623B0" w:rsidRPr="00FD5752">
              <w:t>r w</w:t>
            </w:r>
            <w:r w:rsidR="00A80041" w:rsidRPr="00FD5752">
              <w:t xml:space="preserve">ith widespread engagement and action </w:t>
            </w:r>
            <w:r w:rsidR="007623B0" w:rsidRPr="00FD5752">
              <w:t xml:space="preserve">from those living and working in our borough. </w:t>
            </w:r>
            <w:r w:rsidR="00A80041" w:rsidRPr="00FD5752">
              <w:t xml:space="preserve"> </w:t>
            </w:r>
          </w:p>
          <w:p w:rsidR="001C3466" w:rsidRPr="001C3466" w:rsidRDefault="001C3466" w:rsidP="001C3466">
            <w:pPr>
              <w:pStyle w:val="ListParagraph"/>
              <w:rPr>
                <w:color w:val="FF0000"/>
              </w:rPr>
            </w:pPr>
          </w:p>
          <w:p w:rsidR="001C3466" w:rsidRPr="00163E68" w:rsidRDefault="001C3466" w:rsidP="007B5D52">
            <w:pPr>
              <w:pStyle w:val="ListParagraph"/>
              <w:numPr>
                <w:ilvl w:val="0"/>
                <w:numId w:val="11"/>
              </w:numPr>
              <w:rPr>
                <w:color w:val="000000" w:themeColor="text1"/>
              </w:rPr>
            </w:pPr>
            <w:r w:rsidRPr="00163E68">
              <w:rPr>
                <w:color w:val="000000" w:themeColor="text1"/>
              </w:rPr>
              <w:t>Delegate authority to the Corporate Director – Community</w:t>
            </w:r>
            <w:r w:rsidR="007B5D52">
              <w:rPr>
                <w:color w:val="000000" w:themeColor="text1"/>
              </w:rPr>
              <w:t xml:space="preserve">, </w:t>
            </w:r>
            <w:r w:rsidR="007B5D52" w:rsidRPr="007B5D52">
              <w:rPr>
                <w:color w:val="000000" w:themeColor="text1"/>
              </w:rPr>
              <w:t>following consultation with the Leader of the Council</w:t>
            </w:r>
            <w:r w:rsidR="007B5D52">
              <w:rPr>
                <w:color w:val="000000" w:themeColor="text1"/>
              </w:rPr>
              <w:t xml:space="preserve">, </w:t>
            </w:r>
            <w:r w:rsidRPr="00163E68">
              <w:rPr>
                <w:color w:val="000000" w:themeColor="text1"/>
              </w:rPr>
              <w:t xml:space="preserve">to agree a process for priority allocation of Carbon Offset Funds to </w:t>
            </w:r>
            <w:r w:rsidR="00163E68" w:rsidRPr="00163E68">
              <w:rPr>
                <w:color w:val="000000" w:themeColor="text1"/>
              </w:rPr>
              <w:t>contribute towards</w:t>
            </w:r>
            <w:r w:rsidR="00DB4B39">
              <w:rPr>
                <w:color w:val="000000" w:themeColor="text1"/>
              </w:rPr>
              <w:t xml:space="preserve"> carbon reduction initiatives</w:t>
            </w:r>
            <w:r w:rsidR="007623B0">
              <w:rPr>
                <w:color w:val="000000" w:themeColor="text1"/>
              </w:rPr>
              <w:t xml:space="preserve">. </w:t>
            </w:r>
          </w:p>
          <w:p w:rsidR="000B48D9" w:rsidRPr="008519A3" w:rsidRDefault="000B48D9" w:rsidP="008519A3">
            <w:pPr>
              <w:rPr>
                <w:color w:val="FF0000"/>
              </w:rPr>
            </w:pPr>
          </w:p>
          <w:p w:rsidR="00591016" w:rsidRDefault="00591016" w:rsidP="001C7E35"/>
          <w:p w:rsidR="001C7E35" w:rsidRPr="00231AED" w:rsidRDefault="001C7E35" w:rsidP="0054590F">
            <w:pPr>
              <w:pStyle w:val="Heading2"/>
              <w:rPr>
                <w:color w:val="FF0000"/>
              </w:rPr>
            </w:pPr>
            <w:r>
              <w:t>Reason:  (For recommendation</w:t>
            </w:r>
            <w:r w:rsidR="00714BEE">
              <w:t>s</w:t>
            </w:r>
            <w:r>
              <w:t>)</w:t>
            </w:r>
            <w:r w:rsidR="008E533D">
              <w:t xml:space="preserve">: </w:t>
            </w:r>
            <w:r>
              <w:rPr>
                <w:color w:val="FF0000"/>
              </w:rPr>
              <w:t xml:space="preserve"> </w:t>
            </w:r>
          </w:p>
          <w:p w:rsidR="00333FAA" w:rsidRDefault="00333FAA" w:rsidP="00A53B04"/>
          <w:p w:rsidR="00333FAA" w:rsidRDefault="00A80041" w:rsidP="00A80041">
            <w:pPr>
              <w:rPr>
                <w:rFonts w:cs="Arial"/>
              </w:rPr>
            </w:pPr>
            <w:r>
              <w:rPr>
                <w:rFonts w:cs="Arial"/>
              </w:rPr>
              <w:t xml:space="preserve">To enable further work to be progressed in response to the </w:t>
            </w:r>
            <w:r w:rsidR="004A7512">
              <w:rPr>
                <w:rFonts w:cs="Arial"/>
              </w:rPr>
              <w:t>previous</w:t>
            </w:r>
            <w:r w:rsidR="00B7256F">
              <w:rPr>
                <w:rFonts w:cs="Arial"/>
              </w:rPr>
              <w:t xml:space="preserve">ly declared </w:t>
            </w:r>
            <w:r w:rsidR="004A7512">
              <w:rPr>
                <w:rFonts w:cs="Arial"/>
              </w:rPr>
              <w:t xml:space="preserve">Climate Emergency. </w:t>
            </w:r>
          </w:p>
          <w:p w:rsidR="00A80041" w:rsidRDefault="00A80041" w:rsidP="00A80041">
            <w:pPr>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521943" w:rsidP="001C7E35">
      <w:pPr>
        <w:pStyle w:val="Heading2"/>
      </w:pPr>
      <w:r>
        <w:t>1.</w:t>
      </w:r>
      <w:r>
        <w:tab/>
      </w:r>
      <w:r w:rsidR="00985C77">
        <w:t>Introduction</w:t>
      </w:r>
    </w:p>
    <w:p w:rsidR="0035327C" w:rsidRDefault="0035327C" w:rsidP="001C7E35"/>
    <w:p w:rsidR="0035327C" w:rsidRDefault="00521943" w:rsidP="00521943">
      <w:pPr>
        <w:ind w:left="720" w:hanging="720"/>
      </w:pPr>
      <w:r>
        <w:t>1.1</w:t>
      </w:r>
      <w:r>
        <w:tab/>
      </w:r>
      <w:r w:rsidR="00026881">
        <w:t>On 18</w:t>
      </w:r>
      <w:r w:rsidR="00026881" w:rsidRPr="00026881">
        <w:rPr>
          <w:vertAlign w:val="superscript"/>
        </w:rPr>
        <w:t>th</w:t>
      </w:r>
      <w:r w:rsidR="00026881">
        <w:t xml:space="preserve"> July 2019 at full Council </w:t>
      </w:r>
      <w:r w:rsidR="00D856AD">
        <w:t xml:space="preserve">debated </w:t>
      </w:r>
      <w:r w:rsidR="00026881">
        <w:t>a motion to declare a Climate Emergency</w:t>
      </w:r>
      <w:r w:rsidR="00D856AD">
        <w:t xml:space="preserve"> and to resolve to </w:t>
      </w:r>
      <w:r w:rsidR="00026881">
        <w:t>‘</w:t>
      </w:r>
      <w:r w:rsidR="00026881" w:rsidRPr="00B45802">
        <w:rPr>
          <w:i/>
        </w:rPr>
        <w:t xml:space="preserve">Aim to make the London Borough of Harrow carbon neutral by 2030, </w:t>
      </w:r>
      <w:r w:rsidR="00B45802" w:rsidRPr="00B45802">
        <w:rPr>
          <w:i/>
        </w:rPr>
        <w:t>ta</w:t>
      </w:r>
      <w:r w:rsidR="00026881" w:rsidRPr="00B45802">
        <w:rPr>
          <w:i/>
        </w:rPr>
        <w:t>king into account both production and consumption of emissions</w:t>
      </w:r>
      <w:r w:rsidR="00026881">
        <w:t xml:space="preserve">’. </w:t>
      </w:r>
      <w:r w:rsidR="00B45802">
        <w:t xml:space="preserve">The motion was </w:t>
      </w:r>
      <w:r w:rsidR="00D856AD">
        <w:t xml:space="preserve">approved for referral </w:t>
      </w:r>
      <w:r w:rsidR="00B45802">
        <w:t xml:space="preserve">to the Executive and </w:t>
      </w:r>
      <w:r w:rsidR="00D856AD">
        <w:t xml:space="preserve">subsequently </w:t>
      </w:r>
      <w:r w:rsidR="00B45802">
        <w:t>agreed at the meeting of Cabinet on 12</w:t>
      </w:r>
      <w:r w:rsidR="00B45802" w:rsidRPr="00B45802">
        <w:rPr>
          <w:vertAlign w:val="superscript"/>
        </w:rPr>
        <w:t>th</w:t>
      </w:r>
      <w:r w:rsidR="00B45802">
        <w:t xml:space="preserve"> September 2019. </w:t>
      </w:r>
    </w:p>
    <w:p w:rsidR="00B45802" w:rsidRDefault="00B45802" w:rsidP="001C7E35"/>
    <w:p w:rsidR="00B45802" w:rsidRDefault="00521943" w:rsidP="00521943">
      <w:pPr>
        <w:ind w:left="720" w:hanging="720"/>
      </w:pPr>
      <w:r>
        <w:t>1.2</w:t>
      </w:r>
      <w:r>
        <w:tab/>
      </w:r>
      <w:r w:rsidR="00C54C75">
        <w:t xml:space="preserve">The </w:t>
      </w:r>
      <w:r w:rsidR="00C54C75" w:rsidRPr="00C54C75">
        <w:t xml:space="preserve">terms of the </w:t>
      </w:r>
      <w:r w:rsidR="00C54C75">
        <w:t xml:space="preserve">agreed motion included a requirement </w:t>
      </w:r>
      <w:r w:rsidR="00C54C75" w:rsidRPr="00C54C75">
        <w:t>to create</w:t>
      </w:r>
      <w:r w:rsidR="00B45802" w:rsidRPr="00C54C75">
        <w:t xml:space="preserve"> officer and member working groups to urgently review and make </w:t>
      </w:r>
      <w:r w:rsidR="00B45802" w:rsidRPr="00C54C75">
        <w:lastRenderedPageBreak/>
        <w:t>recommendation</w:t>
      </w:r>
      <w:r w:rsidR="00D856AD" w:rsidRPr="00C54C75">
        <w:t xml:space="preserve">s for actions that the council </w:t>
      </w:r>
      <w:r w:rsidR="00B45802" w:rsidRPr="00C54C75">
        <w:t xml:space="preserve">can </w:t>
      </w:r>
      <w:r w:rsidR="00D856AD" w:rsidRPr="00C54C75">
        <w:t xml:space="preserve">take in order to achieve the 2030 target. </w:t>
      </w:r>
    </w:p>
    <w:p w:rsidR="00C54C75" w:rsidRDefault="00C54C75" w:rsidP="001C7E35"/>
    <w:p w:rsidR="00C54C75" w:rsidRPr="00C54C75" w:rsidRDefault="00521943" w:rsidP="00521943">
      <w:pPr>
        <w:ind w:left="720" w:hanging="720"/>
      </w:pPr>
      <w:r>
        <w:t>1.3</w:t>
      </w:r>
      <w:r>
        <w:tab/>
      </w:r>
      <w:r w:rsidR="00C54C75">
        <w:t xml:space="preserve">This report explains </w:t>
      </w:r>
      <w:r w:rsidR="001C3466">
        <w:t xml:space="preserve">the work </w:t>
      </w:r>
      <w:r w:rsidR="000B48D9">
        <w:t xml:space="preserve">to date and sets out a proposed strategic framework and initial actions to </w:t>
      </w:r>
      <w:r w:rsidR="00D43C8E">
        <w:t xml:space="preserve">begin to </w:t>
      </w:r>
      <w:r w:rsidR="000B48D9">
        <w:t xml:space="preserve">transition </w:t>
      </w:r>
      <w:r w:rsidR="00D43C8E">
        <w:t xml:space="preserve">both the </w:t>
      </w:r>
      <w:r w:rsidR="000B48D9">
        <w:t xml:space="preserve">council as an organisation and the borough to a carbon neutral position. </w:t>
      </w:r>
    </w:p>
    <w:p w:rsidR="001C7E35" w:rsidRPr="00C54C75" w:rsidRDefault="001C7E35" w:rsidP="001C7E35"/>
    <w:p w:rsidR="001C7E35" w:rsidRDefault="00521943" w:rsidP="001C7E35">
      <w:pPr>
        <w:pStyle w:val="Heading2"/>
        <w:rPr>
          <w:color w:val="FF0000"/>
        </w:rPr>
      </w:pPr>
      <w:r>
        <w:t>2.</w:t>
      </w:r>
      <w:r>
        <w:tab/>
      </w:r>
      <w:r w:rsidR="001C7E35">
        <w:t>Options considered</w:t>
      </w:r>
      <w:r w:rsidR="009920DB">
        <w:rPr>
          <w:color w:val="FF0000"/>
        </w:rPr>
        <w:t xml:space="preserve"> </w:t>
      </w:r>
    </w:p>
    <w:p w:rsidR="00521943" w:rsidRDefault="00521943" w:rsidP="00521943"/>
    <w:p w:rsidR="00521943" w:rsidRDefault="00521943" w:rsidP="00521943">
      <w:pPr>
        <w:ind w:left="720" w:hanging="720"/>
      </w:pPr>
      <w:r>
        <w:t>2.1</w:t>
      </w:r>
      <w:r>
        <w:tab/>
      </w:r>
      <w:r w:rsidR="0035327C">
        <w:t>Do n</w:t>
      </w:r>
      <w:r w:rsidR="00F85643">
        <w:t xml:space="preserve">othing: </w:t>
      </w:r>
      <w:r w:rsidR="009920DB">
        <w:t xml:space="preserve">the current approach to </w:t>
      </w:r>
      <w:r w:rsidR="00C43066">
        <w:t xml:space="preserve">climate change and </w:t>
      </w:r>
      <w:r w:rsidR="009920DB">
        <w:t xml:space="preserve">environmental sustainability will not be sufficient to </w:t>
      </w:r>
      <w:r w:rsidR="00DB7B3B">
        <w:t xml:space="preserve">address the </w:t>
      </w:r>
      <w:r w:rsidR="00F85643">
        <w:t xml:space="preserve">commitment </w:t>
      </w:r>
      <w:r w:rsidR="009920DB">
        <w:t xml:space="preserve">previously </w:t>
      </w:r>
      <w:r w:rsidR="00F85643">
        <w:t>made by the council</w:t>
      </w:r>
      <w:r w:rsidR="009920DB">
        <w:t xml:space="preserve"> to aim </w:t>
      </w:r>
      <w:r w:rsidR="000C0C07">
        <w:t xml:space="preserve">to achieve carbon neutrality </w:t>
      </w:r>
      <w:r w:rsidR="009920DB">
        <w:t>by 2030.</w:t>
      </w:r>
    </w:p>
    <w:p w:rsidR="00521943" w:rsidRDefault="00521943" w:rsidP="00521943">
      <w:pPr>
        <w:ind w:left="720" w:hanging="720"/>
      </w:pPr>
    </w:p>
    <w:p w:rsidR="00DB7B3B" w:rsidRPr="0035327C" w:rsidRDefault="00521943" w:rsidP="00521943">
      <w:pPr>
        <w:ind w:left="720" w:hanging="720"/>
      </w:pPr>
      <w:r>
        <w:t>2.2</w:t>
      </w:r>
      <w:r>
        <w:tab/>
      </w:r>
      <w:r w:rsidR="00F85643">
        <w:t xml:space="preserve">Agree the Interim Strategy and Action Plan: </w:t>
      </w:r>
      <w:r w:rsidR="009920DB">
        <w:t xml:space="preserve">this provides an initial framework in order to take forward this agenda and </w:t>
      </w:r>
      <w:r w:rsidR="00EB1728">
        <w:t xml:space="preserve">to </w:t>
      </w:r>
      <w:r w:rsidR="004F01C2">
        <w:t xml:space="preserve">undertake further work to </w:t>
      </w:r>
      <w:r w:rsidR="009920DB">
        <w:t xml:space="preserve">establish pathways to carbon neutrality </w:t>
      </w:r>
      <w:r w:rsidR="00876815">
        <w:t xml:space="preserve">by 2030, both </w:t>
      </w:r>
      <w:r w:rsidR="009920DB">
        <w:t xml:space="preserve">as an organisation and on a borough-wide basis. </w:t>
      </w:r>
    </w:p>
    <w:p w:rsidR="00333FAA" w:rsidRDefault="00333FAA" w:rsidP="00333FAA"/>
    <w:p w:rsidR="001C7E35" w:rsidRDefault="001C7E35" w:rsidP="00333FAA"/>
    <w:p w:rsidR="00333FAA" w:rsidRPr="00521943" w:rsidRDefault="00521943" w:rsidP="00333FAA">
      <w:pPr>
        <w:pStyle w:val="Heading2"/>
      </w:pPr>
      <w:r w:rsidRPr="00521943">
        <w:t>3.</w:t>
      </w:r>
      <w:r w:rsidRPr="00521943">
        <w:tab/>
      </w:r>
      <w:r w:rsidR="000E49E9" w:rsidRPr="00521943">
        <w:t>Background</w:t>
      </w:r>
    </w:p>
    <w:p w:rsidR="00333FAA" w:rsidRPr="00521943" w:rsidRDefault="00333FAA" w:rsidP="00333FAA"/>
    <w:p w:rsidR="000E49E9" w:rsidRPr="00521943" w:rsidRDefault="000E49E9" w:rsidP="00521943">
      <w:pPr>
        <w:rPr>
          <w:b/>
        </w:rPr>
      </w:pPr>
      <w:r w:rsidRPr="00521943">
        <w:rPr>
          <w:b/>
        </w:rPr>
        <w:t>The Carbon Cycle a</w:t>
      </w:r>
      <w:r w:rsidR="003A4810" w:rsidRPr="00521943">
        <w:rPr>
          <w:b/>
        </w:rPr>
        <w:t>nd Human-i</w:t>
      </w:r>
      <w:r w:rsidRPr="00521943">
        <w:rPr>
          <w:b/>
        </w:rPr>
        <w:t>nduced Climate Change</w:t>
      </w:r>
    </w:p>
    <w:p w:rsidR="000E49E9" w:rsidRPr="00521943" w:rsidRDefault="000E49E9" w:rsidP="000E49E9"/>
    <w:p w:rsidR="007B346D" w:rsidRPr="00521943" w:rsidRDefault="00521943" w:rsidP="00521943">
      <w:pPr>
        <w:ind w:left="720" w:hanging="720"/>
      </w:pPr>
      <w:r w:rsidRPr="00521943">
        <w:t>3.1</w:t>
      </w:r>
      <w:r w:rsidRPr="00521943">
        <w:tab/>
      </w:r>
      <w:r w:rsidR="00925EA9" w:rsidRPr="00521943">
        <w:t>C</w:t>
      </w:r>
      <w:r w:rsidR="000E49E9" w:rsidRPr="00521943">
        <w:t>arbon is sometimes described as the backbone of life on earth. Every living organism has carbon atoms incorporated in their cells and</w:t>
      </w:r>
      <w:r w:rsidR="008310E9" w:rsidRPr="00521943">
        <w:t>,</w:t>
      </w:r>
      <w:r w:rsidR="000E49E9" w:rsidRPr="00521943">
        <w:t xml:space="preserve"> through a natural process known as the carbon cycle, those stores of carbon are recycled between living</w:t>
      </w:r>
      <w:r w:rsidR="00894220" w:rsidRPr="00521943">
        <w:t xml:space="preserve"> organisms and the environment.</w:t>
      </w:r>
    </w:p>
    <w:p w:rsidR="007B346D" w:rsidRPr="00521943" w:rsidRDefault="007B346D" w:rsidP="000E49E9"/>
    <w:p w:rsidR="000E49E9" w:rsidRPr="00521943" w:rsidRDefault="00521943" w:rsidP="00521943">
      <w:pPr>
        <w:ind w:left="720" w:hanging="720"/>
      </w:pPr>
      <w:r w:rsidRPr="00521943">
        <w:t>3.2</w:t>
      </w:r>
      <w:r w:rsidRPr="00521943">
        <w:tab/>
      </w:r>
      <w:r w:rsidR="00C77929" w:rsidRPr="00521943">
        <w:t>T</w:t>
      </w:r>
      <w:r w:rsidR="000E49E9" w:rsidRPr="00521943">
        <w:t>he carbon cycle</w:t>
      </w:r>
      <w:r w:rsidR="00C77929" w:rsidRPr="00521943">
        <w:t xml:space="preserve"> has both fast and slow elements, the latter operating over timescales of millions of years. In the fast carbon cycle that is </w:t>
      </w:r>
      <w:r w:rsidR="003A4810" w:rsidRPr="00521943">
        <w:t xml:space="preserve">most </w:t>
      </w:r>
      <w:r w:rsidR="00C77929" w:rsidRPr="00521943">
        <w:t>relevant for our purposes:</w:t>
      </w:r>
      <w:r w:rsidR="000E49E9" w:rsidRPr="00521943">
        <w:t xml:space="preserve"> </w:t>
      </w:r>
    </w:p>
    <w:p w:rsidR="000E49E9" w:rsidRPr="00521943" w:rsidRDefault="000E49E9" w:rsidP="000E49E9">
      <w:r w:rsidRPr="00521943">
        <w:t xml:space="preserve"> </w:t>
      </w:r>
    </w:p>
    <w:p w:rsidR="000E49E9" w:rsidRPr="00521943" w:rsidRDefault="000E49E9" w:rsidP="00B15E8C">
      <w:pPr>
        <w:pStyle w:val="ListParagraph"/>
        <w:numPr>
          <w:ilvl w:val="0"/>
          <w:numId w:val="14"/>
        </w:numPr>
      </w:pPr>
      <w:r w:rsidRPr="00521943">
        <w:t xml:space="preserve">Carbon enters the atmosphere as carbon dioxide </w:t>
      </w:r>
      <w:r w:rsidR="00822AE9" w:rsidRPr="00521943">
        <w:t>(CO</w:t>
      </w:r>
      <w:r w:rsidR="00312AC6" w:rsidRPr="005A7C7B">
        <w:rPr>
          <w:vertAlign w:val="subscript"/>
        </w:rPr>
        <w:t>2</w:t>
      </w:r>
      <w:r w:rsidR="00822AE9" w:rsidRPr="00521943">
        <w:t xml:space="preserve">) </w:t>
      </w:r>
      <w:r w:rsidRPr="00521943">
        <w:t>from aerobic respiration (the breathing of</w:t>
      </w:r>
      <w:r w:rsidR="002679A5" w:rsidRPr="00521943">
        <w:t xml:space="preserve"> animals</w:t>
      </w:r>
      <w:r w:rsidRPr="00521943">
        <w:t>) and combustion (naturally o</w:t>
      </w:r>
      <w:r w:rsidR="003F6570">
        <w:t>ccurring forest fires</w:t>
      </w:r>
      <w:r w:rsidRPr="00521943">
        <w:t>).</w:t>
      </w:r>
    </w:p>
    <w:p w:rsidR="000E49E9" w:rsidRPr="00521943" w:rsidRDefault="000E49E9" w:rsidP="000E49E9">
      <w:pPr>
        <w:pStyle w:val="ListParagraph"/>
      </w:pPr>
    </w:p>
    <w:p w:rsidR="000E49E9" w:rsidRPr="00521943" w:rsidRDefault="003C689A" w:rsidP="00B15E8C">
      <w:pPr>
        <w:pStyle w:val="ListParagraph"/>
        <w:numPr>
          <w:ilvl w:val="0"/>
          <w:numId w:val="14"/>
        </w:numPr>
      </w:pPr>
      <w:r w:rsidRPr="00521943">
        <w:t>CO</w:t>
      </w:r>
      <w:r w:rsidRPr="00361D87">
        <w:rPr>
          <w:vertAlign w:val="subscript"/>
        </w:rPr>
        <w:t>2</w:t>
      </w:r>
      <w:r w:rsidR="00822AE9" w:rsidRPr="00521943">
        <w:t xml:space="preserve"> </w:t>
      </w:r>
      <w:r w:rsidR="000E49E9" w:rsidRPr="00521943">
        <w:t xml:space="preserve">is absorbed by land and marine plants to make glucose in photosynthesis, at the same time producing the oxygen </w:t>
      </w:r>
      <w:r w:rsidR="007B346D" w:rsidRPr="00521943">
        <w:t xml:space="preserve">that is </w:t>
      </w:r>
      <w:r w:rsidR="000E49E9" w:rsidRPr="00521943">
        <w:t>required by animal life</w:t>
      </w:r>
      <w:r w:rsidR="00925EA9" w:rsidRPr="00521943">
        <w:t>, including humans</w:t>
      </w:r>
      <w:r w:rsidR="000E49E9" w:rsidRPr="00521943">
        <w:t>.</w:t>
      </w:r>
    </w:p>
    <w:p w:rsidR="000E49E9" w:rsidRPr="00521943" w:rsidRDefault="000E49E9" w:rsidP="000E49E9"/>
    <w:p w:rsidR="000E49E9" w:rsidRPr="00521943" w:rsidRDefault="000E49E9" w:rsidP="00B15E8C">
      <w:pPr>
        <w:pStyle w:val="ListParagraph"/>
        <w:numPr>
          <w:ilvl w:val="0"/>
          <w:numId w:val="14"/>
        </w:numPr>
      </w:pPr>
      <w:r w:rsidRPr="00521943">
        <w:t xml:space="preserve">Animals feed on the plants passing the carbon compounds along the food chain. Most of the carbon they consume is exhaled as </w:t>
      </w:r>
      <w:r w:rsidR="003C689A" w:rsidRPr="00521943">
        <w:t>CO</w:t>
      </w:r>
      <w:r w:rsidR="003C689A" w:rsidRPr="00361D87">
        <w:rPr>
          <w:vertAlign w:val="subscript"/>
        </w:rPr>
        <w:t>2</w:t>
      </w:r>
      <w:r w:rsidR="003C689A">
        <w:rPr>
          <w:vertAlign w:val="subscript"/>
        </w:rPr>
        <w:t xml:space="preserve"> </w:t>
      </w:r>
      <w:r w:rsidR="007B346D" w:rsidRPr="00521943">
        <w:t>as they respire</w:t>
      </w:r>
      <w:r w:rsidRPr="00521943">
        <w:t>. The animals and plants eventually die.</w:t>
      </w:r>
    </w:p>
    <w:p w:rsidR="000E49E9" w:rsidRPr="00521943" w:rsidRDefault="000E49E9" w:rsidP="000E49E9">
      <w:pPr>
        <w:pStyle w:val="ListParagraph"/>
      </w:pPr>
    </w:p>
    <w:p w:rsidR="000E49E9" w:rsidRPr="00521943" w:rsidRDefault="000E49E9" w:rsidP="00B15E8C">
      <w:pPr>
        <w:pStyle w:val="ListParagraph"/>
        <w:numPr>
          <w:ilvl w:val="0"/>
          <w:numId w:val="14"/>
        </w:numPr>
      </w:pPr>
      <w:r w:rsidRPr="00521943">
        <w:t xml:space="preserve">Decomposers break down the dead organisms and </w:t>
      </w:r>
      <w:r w:rsidR="007B346D" w:rsidRPr="00521943">
        <w:t xml:space="preserve">through respiration </w:t>
      </w:r>
      <w:r w:rsidRPr="00521943">
        <w:t xml:space="preserve">return </w:t>
      </w:r>
      <w:r w:rsidR="007B346D" w:rsidRPr="00521943">
        <w:t xml:space="preserve">most of </w:t>
      </w:r>
      <w:r w:rsidRPr="00521943">
        <w:t xml:space="preserve">the </w:t>
      </w:r>
      <w:r w:rsidR="007B346D" w:rsidRPr="00521943">
        <w:t xml:space="preserve">remaining </w:t>
      </w:r>
      <w:r w:rsidRPr="00521943">
        <w:t xml:space="preserve">carbon in their bodies to the atmosphere as carbon dioxide. </w:t>
      </w:r>
      <w:r w:rsidR="007B346D" w:rsidRPr="00521943">
        <w:t>However, i</w:t>
      </w:r>
      <w:r w:rsidRPr="00521943">
        <w:t>n some conditions, decomposition is blocked. The plant and animal material is converted to carbon stores</w:t>
      </w:r>
      <w:r w:rsidR="00925EA9" w:rsidRPr="00521943">
        <w:t xml:space="preserve">. This </w:t>
      </w:r>
      <w:r w:rsidRPr="00521943">
        <w:t>include</w:t>
      </w:r>
      <w:r w:rsidR="00925EA9" w:rsidRPr="00521943">
        <w:t>s</w:t>
      </w:r>
      <w:r w:rsidR="007B346D" w:rsidRPr="00521943">
        <w:t xml:space="preserve">, over </w:t>
      </w:r>
      <w:r w:rsidR="00C77929" w:rsidRPr="00521943">
        <w:t xml:space="preserve">periods </w:t>
      </w:r>
      <w:r w:rsidR="007B346D" w:rsidRPr="00521943">
        <w:t>of millions of years</w:t>
      </w:r>
      <w:r w:rsidR="00E13F70" w:rsidRPr="00521943">
        <w:t xml:space="preserve">, the creation of </w:t>
      </w:r>
      <w:r w:rsidR="00603D8F" w:rsidRPr="00521943">
        <w:t xml:space="preserve">fossil </w:t>
      </w:r>
      <w:r w:rsidR="00E13F70" w:rsidRPr="00521943">
        <w:t xml:space="preserve">reservoirs of </w:t>
      </w:r>
      <w:r w:rsidR="007B346D" w:rsidRPr="00521943">
        <w:t>oil, coal and gas</w:t>
      </w:r>
      <w:r w:rsidR="00E13F70" w:rsidRPr="00521943">
        <w:t>.</w:t>
      </w:r>
    </w:p>
    <w:p w:rsidR="000E49E9" w:rsidRPr="00521943" w:rsidRDefault="000E49E9" w:rsidP="000E49E9"/>
    <w:p w:rsidR="000E49E9" w:rsidRPr="00521943" w:rsidRDefault="006B6441" w:rsidP="006B6441">
      <w:pPr>
        <w:ind w:left="720" w:hanging="720"/>
      </w:pPr>
      <w:r>
        <w:lastRenderedPageBreak/>
        <w:t>3.3</w:t>
      </w:r>
      <w:r>
        <w:tab/>
      </w:r>
      <w:r w:rsidR="007B346D" w:rsidRPr="00521943">
        <w:t>I</w:t>
      </w:r>
      <w:r w:rsidR="000E49E9" w:rsidRPr="00521943">
        <w:t xml:space="preserve">n a healthy planetary system without </w:t>
      </w:r>
      <w:r w:rsidR="00925EA9" w:rsidRPr="00521943">
        <w:t xml:space="preserve">undue </w:t>
      </w:r>
      <w:r w:rsidR="00B15E8C">
        <w:t xml:space="preserve">human interference, </w:t>
      </w:r>
      <w:r w:rsidR="005A7C7B">
        <w:t xml:space="preserve">and </w:t>
      </w:r>
      <w:r w:rsidR="00925EA9" w:rsidRPr="00521943">
        <w:t xml:space="preserve">over </w:t>
      </w:r>
      <w:r w:rsidR="002477EC" w:rsidRPr="00521943">
        <w:t>shorter</w:t>
      </w:r>
      <w:r w:rsidR="0024528C" w:rsidRPr="00521943">
        <w:t xml:space="preserve"> human-</w:t>
      </w:r>
      <w:r w:rsidR="002477EC" w:rsidRPr="00521943">
        <w:t>scale timespans</w:t>
      </w:r>
      <w:r w:rsidR="007B346D" w:rsidRPr="00521943">
        <w:t xml:space="preserve">, </w:t>
      </w:r>
      <w:r w:rsidR="000E49E9" w:rsidRPr="00521943">
        <w:t xml:space="preserve">the process operates to maintain the amount of </w:t>
      </w:r>
      <w:r w:rsidR="00242F05" w:rsidRPr="00521943">
        <w:t>CO</w:t>
      </w:r>
      <w:r w:rsidR="00242F05" w:rsidRPr="00361D87">
        <w:rPr>
          <w:vertAlign w:val="subscript"/>
        </w:rPr>
        <w:t>2</w:t>
      </w:r>
      <w:r w:rsidR="00242F05">
        <w:rPr>
          <w:vertAlign w:val="subscript"/>
        </w:rPr>
        <w:t xml:space="preserve"> </w:t>
      </w:r>
      <w:r w:rsidR="000E49E9" w:rsidRPr="00521943">
        <w:t>in the atmosphere at a broadly constant level.</w:t>
      </w:r>
    </w:p>
    <w:p w:rsidR="000E49E9" w:rsidRPr="00521943" w:rsidRDefault="000E49E9" w:rsidP="000E49E9"/>
    <w:p w:rsidR="000E49E9" w:rsidRPr="00521943" w:rsidRDefault="006B6441" w:rsidP="006B6441">
      <w:pPr>
        <w:ind w:left="720" w:hanging="720"/>
      </w:pPr>
      <w:r>
        <w:t>3.4</w:t>
      </w:r>
      <w:r>
        <w:tab/>
        <w:t xml:space="preserve">However, </w:t>
      </w:r>
      <w:r w:rsidR="00822AE9" w:rsidRPr="00521943">
        <w:t xml:space="preserve">the </w:t>
      </w:r>
      <w:r w:rsidR="00985C77" w:rsidRPr="00521943">
        <w:t xml:space="preserve">rapid </w:t>
      </w:r>
      <w:r w:rsidR="007B346D" w:rsidRPr="00521943">
        <w:t xml:space="preserve">burning </w:t>
      </w:r>
      <w:r w:rsidR="00E13F70" w:rsidRPr="00521943">
        <w:t xml:space="preserve">of fossil fuels </w:t>
      </w:r>
      <w:r w:rsidR="00AE1B45" w:rsidRPr="00521943">
        <w:t xml:space="preserve">- </w:t>
      </w:r>
      <w:r w:rsidR="001B210D" w:rsidRPr="00521943">
        <w:t xml:space="preserve">the </w:t>
      </w:r>
      <w:r w:rsidR="00AE1B45" w:rsidRPr="00521943">
        <w:t xml:space="preserve">concentrated reserves of carbon </w:t>
      </w:r>
      <w:r w:rsidR="00894220" w:rsidRPr="00521943">
        <w:t xml:space="preserve">laid </w:t>
      </w:r>
      <w:r w:rsidR="00925EA9" w:rsidRPr="00521943">
        <w:t xml:space="preserve">down </w:t>
      </w:r>
      <w:r w:rsidR="00AE1B45" w:rsidRPr="00521943">
        <w:t>by the process</w:t>
      </w:r>
      <w:r w:rsidR="00985C77" w:rsidRPr="00521943">
        <w:t>es</w:t>
      </w:r>
      <w:r w:rsidR="00AE1B45" w:rsidRPr="00521943">
        <w:t xml:space="preserve"> of life </w:t>
      </w:r>
      <w:r w:rsidR="00E13F70" w:rsidRPr="00521943">
        <w:t xml:space="preserve">operating </w:t>
      </w:r>
      <w:r w:rsidR="00894220" w:rsidRPr="00521943">
        <w:t>over long geological timespans</w:t>
      </w:r>
      <w:r w:rsidR="00822AE9" w:rsidRPr="00521943">
        <w:t xml:space="preserve"> - </w:t>
      </w:r>
      <w:r w:rsidR="00894220" w:rsidRPr="00521943">
        <w:t xml:space="preserve">is </w:t>
      </w:r>
      <w:r w:rsidR="001B210D" w:rsidRPr="00521943">
        <w:t xml:space="preserve">resulting in a net increase in </w:t>
      </w:r>
      <w:r w:rsidR="003C689A" w:rsidRPr="00521943">
        <w:t>CO</w:t>
      </w:r>
      <w:r w:rsidR="003C689A" w:rsidRPr="00361D87">
        <w:rPr>
          <w:vertAlign w:val="subscript"/>
        </w:rPr>
        <w:t>2</w:t>
      </w:r>
      <w:r w:rsidR="003C689A">
        <w:rPr>
          <w:vertAlign w:val="subscript"/>
        </w:rPr>
        <w:t xml:space="preserve"> </w:t>
      </w:r>
      <w:r w:rsidR="00894220" w:rsidRPr="00521943">
        <w:t>in</w:t>
      </w:r>
      <w:r w:rsidR="00925EA9" w:rsidRPr="00521943">
        <w:t xml:space="preserve"> the atmosphere</w:t>
      </w:r>
      <w:r w:rsidR="001B210D" w:rsidRPr="00521943">
        <w:t>. In short, the carbon cycle</w:t>
      </w:r>
      <w:r w:rsidR="00925EA9" w:rsidRPr="00521943">
        <w:t xml:space="preserve"> </w:t>
      </w:r>
      <w:r w:rsidR="001B210D" w:rsidRPr="00521943">
        <w:t xml:space="preserve">is being thrown </w:t>
      </w:r>
      <w:r w:rsidR="00925EA9" w:rsidRPr="00521943">
        <w:t>out of balance</w:t>
      </w:r>
      <w:r w:rsidR="00985C77" w:rsidRPr="00521943">
        <w:t xml:space="preserve"> as a result of our current dependence upon fossil fuels</w:t>
      </w:r>
      <w:r w:rsidR="00925EA9" w:rsidRPr="00521943">
        <w:t>.</w:t>
      </w:r>
      <w:r w:rsidR="007B346D" w:rsidRPr="00521943">
        <w:t xml:space="preserve"> </w:t>
      </w:r>
      <w:r w:rsidR="00603D8F" w:rsidRPr="00521943">
        <w:t xml:space="preserve">This imbalance is </w:t>
      </w:r>
      <w:r w:rsidR="002679A5" w:rsidRPr="00521943">
        <w:t xml:space="preserve">being </w:t>
      </w:r>
      <w:r w:rsidR="00603D8F" w:rsidRPr="00521943">
        <w:t>exacerbated by deforestation and other land use practices</w:t>
      </w:r>
      <w:r w:rsidR="00521943" w:rsidRPr="00521943">
        <w:t xml:space="preserve"> </w:t>
      </w:r>
      <w:r w:rsidR="00603D8F" w:rsidRPr="00521943">
        <w:t>that reduce the ability of the earth to absorb atmospheric</w:t>
      </w:r>
      <w:r w:rsidR="003C689A" w:rsidRPr="003C689A">
        <w:t xml:space="preserve"> </w:t>
      </w:r>
      <w:r w:rsidR="003C689A" w:rsidRPr="00521943">
        <w:t>CO</w:t>
      </w:r>
      <w:r w:rsidR="003C689A" w:rsidRPr="00361D87">
        <w:rPr>
          <w:vertAlign w:val="subscript"/>
        </w:rPr>
        <w:t>2</w:t>
      </w:r>
      <w:r w:rsidR="00603D8F" w:rsidRPr="00521943">
        <w:t>.</w:t>
      </w:r>
    </w:p>
    <w:p w:rsidR="001B210D" w:rsidRPr="00521943" w:rsidRDefault="001B210D" w:rsidP="00333FAA"/>
    <w:p w:rsidR="007B346D" w:rsidRPr="00521943" w:rsidRDefault="006B6441" w:rsidP="006B6441">
      <w:pPr>
        <w:ind w:left="720" w:hanging="720"/>
      </w:pPr>
      <w:r>
        <w:t>3.5</w:t>
      </w:r>
      <w:r>
        <w:tab/>
      </w:r>
      <w:r w:rsidR="003C689A" w:rsidRPr="00521943">
        <w:t>CO</w:t>
      </w:r>
      <w:r w:rsidR="003C689A" w:rsidRPr="00361D87">
        <w:rPr>
          <w:vertAlign w:val="subscript"/>
        </w:rPr>
        <w:t>2</w:t>
      </w:r>
      <w:r w:rsidR="003C689A">
        <w:rPr>
          <w:vertAlign w:val="subscript"/>
        </w:rPr>
        <w:t xml:space="preserve"> </w:t>
      </w:r>
      <w:r w:rsidR="001B210D" w:rsidRPr="00521943">
        <w:t xml:space="preserve">is </w:t>
      </w:r>
      <w:r w:rsidR="00985C77" w:rsidRPr="00521943">
        <w:t xml:space="preserve">one </w:t>
      </w:r>
      <w:r w:rsidR="008310E9" w:rsidRPr="00521943">
        <w:t xml:space="preserve">of a number of greenhouse gases </w:t>
      </w:r>
      <w:r w:rsidR="000D4E05" w:rsidRPr="00521943">
        <w:t xml:space="preserve">(GHGs) </w:t>
      </w:r>
      <w:r w:rsidR="008310E9" w:rsidRPr="00521943">
        <w:t xml:space="preserve">that </w:t>
      </w:r>
      <w:r w:rsidR="00822AE9" w:rsidRPr="00521943">
        <w:t xml:space="preserve">also </w:t>
      </w:r>
      <w:r w:rsidR="008310E9" w:rsidRPr="00521943">
        <w:t xml:space="preserve">include methane. Together </w:t>
      </w:r>
      <w:r w:rsidR="00985C77" w:rsidRPr="00521943">
        <w:t xml:space="preserve">these </w:t>
      </w:r>
      <w:r w:rsidR="00B104BA">
        <w:t>GHGs</w:t>
      </w:r>
      <w:r w:rsidR="008310E9" w:rsidRPr="00521943">
        <w:t xml:space="preserve"> operate to trap heat in the atmosphere. This is </w:t>
      </w:r>
      <w:r w:rsidR="00026BCE">
        <w:t xml:space="preserve"> </w:t>
      </w:r>
      <w:r w:rsidR="008310E9" w:rsidRPr="00521943">
        <w:t>an essentia</w:t>
      </w:r>
      <w:r>
        <w:t>l</w:t>
      </w:r>
      <w:r w:rsidR="008310E9" w:rsidRPr="00521943">
        <w:t xml:space="preserve"> </w:t>
      </w:r>
      <w:r w:rsidR="00C77929" w:rsidRPr="00521943">
        <w:t xml:space="preserve">thermostatic </w:t>
      </w:r>
      <w:r w:rsidR="000D4E05" w:rsidRPr="00521943">
        <w:t xml:space="preserve">function of </w:t>
      </w:r>
      <w:r w:rsidR="003A4810" w:rsidRPr="00521943">
        <w:t xml:space="preserve">our </w:t>
      </w:r>
      <w:r w:rsidR="00822AE9" w:rsidRPr="00521943">
        <w:t>planetary system</w:t>
      </w:r>
      <w:r w:rsidR="008310E9" w:rsidRPr="00521943">
        <w:t xml:space="preserve">, for without this warming effect </w:t>
      </w:r>
      <w:r w:rsidR="000D4E05" w:rsidRPr="00521943">
        <w:t xml:space="preserve">much of the sun’s </w:t>
      </w:r>
      <w:r w:rsidR="008310E9" w:rsidRPr="00521943">
        <w:t xml:space="preserve">heat would radiate out </w:t>
      </w:r>
      <w:r w:rsidR="000D4E05" w:rsidRPr="00521943">
        <w:t>into space</w:t>
      </w:r>
      <w:r w:rsidR="00985C77" w:rsidRPr="00521943">
        <w:t xml:space="preserve"> leaving the earth too cold for life</w:t>
      </w:r>
      <w:r w:rsidR="000D4E05" w:rsidRPr="00521943">
        <w:t xml:space="preserve">. </w:t>
      </w:r>
      <w:r>
        <w:t>T</w:t>
      </w:r>
      <w:r w:rsidR="008310E9" w:rsidRPr="00521943">
        <w:t xml:space="preserve">oo </w:t>
      </w:r>
      <w:r w:rsidR="000D4E05" w:rsidRPr="00521943">
        <w:t>great a concentration of greenhouse gases</w:t>
      </w:r>
      <w:r>
        <w:t xml:space="preserve">, though, </w:t>
      </w:r>
      <w:r w:rsidR="000D4E05" w:rsidRPr="00521943">
        <w:t xml:space="preserve">has the opposite </w:t>
      </w:r>
      <w:r w:rsidR="003A4810" w:rsidRPr="00521943">
        <w:t>result</w:t>
      </w:r>
      <w:r w:rsidR="000D4E05" w:rsidRPr="00521943">
        <w:t>, leading to global heating and potentially dramatic changes to the earth’s climate</w:t>
      </w:r>
      <w:r w:rsidR="00521943">
        <w:t xml:space="preserve"> and</w:t>
      </w:r>
      <w:r w:rsidR="008252B9" w:rsidRPr="00521943">
        <w:t xml:space="preserve"> </w:t>
      </w:r>
      <w:r w:rsidR="00521943">
        <w:t xml:space="preserve">associated impacts upon </w:t>
      </w:r>
      <w:r w:rsidR="008252B9" w:rsidRPr="00521943">
        <w:t>ecosystems</w:t>
      </w:r>
      <w:r w:rsidR="000D4E05" w:rsidRPr="00521943">
        <w:t xml:space="preserve">. </w:t>
      </w:r>
    </w:p>
    <w:p w:rsidR="00274B9C" w:rsidRPr="00521943" w:rsidRDefault="00274B9C" w:rsidP="00333FAA"/>
    <w:p w:rsidR="00274B9C" w:rsidRPr="00521943" w:rsidRDefault="006B6441" w:rsidP="006B6441">
      <w:pPr>
        <w:ind w:left="720" w:hanging="720"/>
      </w:pPr>
      <w:r w:rsidRPr="00444081">
        <w:t>3.6</w:t>
      </w:r>
      <w:r w:rsidRPr="00444081">
        <w:tab/>
      </w:r>
      <w:r w:rsidR="002679A5" w:rsidRPr="00444081">
        <w:t xml:space="preserve">The </w:t>
      </w:r>
      <w:r w:rsidRPr="00444081">
        <w:t xml:space="preserve">Intergovernmental Panel on Climate Change </w:t>
      </w:r>
      <w:r w:rsidR="002679A5" w:rsidRPr="00444081">
        <w:t>(IPCC) is reporting that g</w:t>
      </w:r>
      <w:r w:rsidR="00274B9C" w:rsidRPr="00444081">
        <w:t xml:space="preserve">lobal </w:t>
      </w:r>
      <w:r w:rsidR="002679A5" w:rsidRPr="00444081">
        <w:t xml:space="preserve">atmospheric </w:t>
      </w:r>
      <w:r w:rsidR="00274B9C" w:rsidRPr="00444081">
        <w:t xml:space="preserve">heating over pre-industrial levels currently </w:t>
      </w:r>
      <w:r w:rsidR="002679A5" w:rsidRPr="00444081">
        <w:t xml:space="preserve">stands at </w:t>
      </w:r>
      <w:r w:rsidR="00491E6A" w:rsidRPr="00444081">
        <w:t>around 1</w:t>
      </w:r>
      <w:r w:rsidRPr="00444081">
        <w:t>°C</w:t>
      </w:r>
      <w:r w:rsidR="00274B9C" w:rsidRPr="00444081">
        <w:t>. Th</w:t>
      </w:r>
      <w:r w:rsidR="00166238" w:rsidRPr="00444081">
        <w:t>is</w:t>
      </w:r>
      <w:r w:rsidR="0090061A" w:rsidRPr="00444081">
        <w:t xml:space="preserve"> </w:t>
      </w:r>
      <w:r w:rsidR="00274B9C" w:rsidRPr="00444081">
        <w:t xml:space="preserve">relatively low figure is because </w:t>
      </w:r>
      <w:r w:rsidR="0090061A" w:rsidRPr="00444081">
        <w:t xml:space="preserve">over </w:t>
      </w:r>
      <w:r w:rsidR="00274B9C" w:rsidRPr="00444081">
        <w:t xml:space="preserve">90% of the </w:t>
      </w:r>
      <w:r w:rsidR="00F52E72">
        <w:t xml:space="preserve">additional </w:t>
      </w:r>
      <w:r w:rsidR="00274B9C" w:rsidRPr="00444081">
        <w:t>heating effect</w:t>
      </w:r>
      <w:r w:rsidR="00F52E72">
        <w:t xml:space="preserve"> caused by human activity </w:t>
      </w:r>
      <w:r w:rsidR="002679A5" w:rsidRPr="00444081">
        <w:t>has so far been absorbed by t</w:t>
      </w:r>
      <w:r w:rsidR="00274B9C" w:rsidRPr="00444081">
        <w:t>he world’s oceans</w:t>
      </w:r>
      <w:r w:rsidR="00491E6A" w:rsidRPr="00444081">
        <w:t xml:space="preserve">, </w:t>
      </w:r>
      <w:r w:rsidRPr="00444081">
        <w:t>a</w:t>
      </w:r>
      <w:r w:rsidR="00491E6A" w:rsidRPr="00444081">
        <w:t>long with a significant proportion</w:t>
      </w:r>
      <w:r w:rsidR="00045FF5" w:rsidRPr="00444081">
        <w:t xml:space="preserve"> of the additional </w:t>
      </w:r>
      <w:r w:rsidR="00242F05" w:rsidRPr="00521943">
        <w:t>CO</w:t>
      </w:r>
      <w:r w:rsidR="00242F05" w:rsidRPr="00361D87">
        <w:rPr>
          <w:vertAlign w:val="subscript"/>
        </w:rPr>
        <w:t>2</w:t>
      </w:r>
      <w:r w:rsidR="00242F05">
        <w:rPr>
          <w:vertAlign w:val="subscript"/>
        </w:rPr>
        <w:t xml:space="preserve"> </w:t>
      </w:r>
      <w:r w:rsidR="00491E6A" w:rsidRPr="00444081">
        <w:t>emissions</w:t>
      </w:r>
      <w:r w:rsidR="00274B9C" w:rsidRPr="00444081">
        <w:t xml:space="preserve">. </w:t>
      </w:r>
      <w:r w:rsidR="00B340F6">
        <w:t>This</w:t>
      </w:r>
      <w:r w:rsidR="0090061A" w:rsidRPr="00444081">
        <w:t xml:space="preserve"> is however not without consequences. </w:t>
      </w:r>
      <w:r w:rsidR="00045FF5" w:rsidRPr="00444081">
        <w:t>The IPCC has recently found</w:t>
      </w:r>
      <w:r w:rsidR="0090061A" w:rsidRPr="00444081">
        <w:t xml:space="preserve"> (</w:t>
      </w:r>
      <w:r w:rsidR="00AB3C8A" w:rsidRPr="00444081">
        <w:t xml:space="preserve">in the </w:t>
      </w:r>
      <w:r w:rsidR="00717587" w:rsidRPr="00444081">
        <w:t xml:space="preserve">autumn of </w:t>
      </w:r>
      <w:r w:rsidR="00045FF5" w:rsidRPr="00444081">
        <w:t>2019</w:t>
      </w:r>
      <w:r w:rsidR="0090061A" w:rsidRPr="00444081">
        <w:t>)</w:t>
      </w:r>
      <w:r w:rsidR="00045FF5" w:rsidRPr="00444081">
        <w:t xml:space="preserve"> that </w:t>
      </w:r>
      <w:r w:rsidR="002679A5" w:rsidRPr="00444081">
        <w:t xml:space="preserve">the warming of the oceans and acidification (caused by </w:t>
      </w:r>
      <w:r w:rsidR="00491E6A" w:rsidRPr="00444081">
        <w:t xml:space="preserve">excess </w:t>
      </w:r>
      <w:r w:rsidR="003C689A" w:rsidRPr="00521943">
        <w:t>CO</w:t>
      </w:r>
      <w:r w:rsidR="003C689A" w:rsidRPr="00361D87">
        <w:rPr>
          <w:vertAlign w:val="subscript"/>
        </w:rPr>
        <w:t>2</w:t>
      </w:r>
      <w:r w:rsidR="002679A5" w:rsidRPr="00444081">
        <w:t xml:space="preserve"> absorption)</w:t>
      </w:r>
      <w:r w:rsidR="004242B5" w:rsidRPr="00444081">
        <w:t xml:space="preserve">, are already affecting the distribution and abundance of marine life in coastal areas, in the open ocean and at the sea floor. </w:t>
      </w:r>
    </w:p>
    <w:p w:rsidR="00985C77" w:rsidRPr="00521943" w:rsidRDefault="00985C77" w:rsidP="00333FAA"/>
    <w:p w:rsidR="00925EA9" w:rsidRPr="00521943" w:rsidRDefault="008310E9" w:rsidP="00333FAA">
      <w:pPr>
        <w:rPr>
          <w:b/>
        </w:rPr>
      </w:pPr>
      <w:r w:rsidRPr="00521943">
        <w:rPr>
          <w:b/>
        </w:rPr>
        <w:t xml:space="preserve">The </w:t>
      </w:r>
      <w:r w:rsidR="00985C77" w:rsidRPr="00521943">
        <w:rPr>
          <w:b/>
        </w:rPr>
        <w:t>Climate &amp; Ecological Emergency</w:t>
      </w:r>
    </w:p>
    <w:p w:rsidR="00985C77" w:rsidRPr="00521943" w:rsidRDefault="00985C77" w:rsidP="00333FAA"/>
    <w:p w:rsidR="00C143DF" w:rsidRPr="00521943" w:rsidRDefault="006B6441" w:rsidP="006B6441">
      <w:pPr>
        <w:ind w:left="720" w:hanging="720"/>
        <w:rPr>
          <w:rFonts w:cs="Arial"/>
        </w:rPr>
      </w:pPr>
      <w:r>
        <w:t>3.7</w:t>
      </w:r>
      <w:r>
        <w:tab/>
      </w:r>
      <w:r w:rsidR="00C143DF" w:rsidRPr="00521943">
        <w:t xml:space="preserve">The Paris Agreement on Climate Change was adopted </w:t>
      </w:r>
      <w:r w:rsidR="00170882">
        <w:t xml:space="preserve">at a meeting of </w:t>
      </w:r>
      <w:r w:rsidR="00C143DF" w:rsidRPr="00521943">
        <w:t>195 nations in December 2015. This included the aim of ‘holding the increase in the global average temperature to well below 2</w:t>
      </w:r>
      <w:r w:rsidR="00C143DF" w:rsidRPr="00521943">
        <w:rPr>
          <w:rFonts w:cs="Arial"/>
        </w:rPr>
        <w:t xml:space="preserve">°C above pre-industrial levels and pursuing efforts to limit the temperature increase to 1.5°C </w:t>
      </w:r>
      <w:r w:rsidR="000343C6" w:rsidRPr="00521943">
        <w:rPr>
          <w:rFonts w:cs="Arial"/>
        </w:rPr>
        <w:t>above pre</w:t>
      </w:r>
      <w:r w:rsidR="00C143DF" w:rsidRPr="00521943">
        <w:rPr>
          <w:rFonts w:cs="Arial"/>
        </w:rPr>
        <w:t>-industrial levels.’</w:t>
      </w:r>
    </w:p>
    <w:p w:rsidR="00C143DF" w:rsidRPr="00521943" w:rsidRDefault="00C143DF" w:rsidP="00333FAA">
      <w:pPr>
        <w:rPr>
          <w:rFonts w:cs="Arial"/>
        </w:rPr>
      </w:pPr>
    </w:p>
    <w:p w:rsidR="007B346D" w:rsidRPr="00521943" w:rsidRDefault="006B6441" w:rsidP="006B6441">
      <w:pPr>
        <w:ind w:left="720" w:hanging="720"/>
      </w:pPr>
      <w:r>
        <w:t>3.8</w:t>
      </w:r>
      <w:r>
        <w:tab/>
      </w:r>
      <w:r w:rsidR="00163E68" w:rsidRPr="00521943">
        <w:t>In October 2018 the IPCC published a special report</w:t>
      </w:r>
      <w:r w:rsidR="00CE0B04" w:rsidRPr="00521943">
        <w:t xml:space="preserve">, further to </w:t>
      </w:r>
      <w:r w:rsidR="00C143DF" w:rsidRPr="00521943">
        <w:t>the Paris Agreement, finding th</w:t>
      </w:r>
      <w:r w:rsidR="000343C6" w:rsidRPr="00521943">
        <w:t xml:space="preserve">at globally actions to limit global greenhouse gas emissions to meet the 1.5°C </w:t>
      </w:r>
      <w:r w:rsidR="007D0017" w:rsidRPr="00521943">
        <w:t xml:space="preserve">target </w:t>
      </w:r>
      <w:r w:rsidR="000343C6" w:rsidRPr="00521943">
        <w:t xml:space="preserve">were not happening fast enough and that ‘rapid and far-reaching’ transitions were required across land use, energy use, industry, buildings and cities. The </w:t>
      </w:r>
      <w:r w:rsidR="00EF2E4B" w:rsidRPr="00521943">
        <w:t xml:space="preserve">IPCC </w:t>
      </w:r>
      <w:r w:rsidR="000343C6" w:rsidRPr="00521943">
        <w:t xml:space="preserve">report warned that failure to act could result in ‘tipping points’ being reached in our planet’s </w:t>
      </w:r>
      <w:r w:rsidR="00B8186B" w:rsidRPr="00521943">
        <w:t xml:space="preserve">natural </w:t>
      </w:r>
      <w:r w:rsidR="000343C6" w:rsidRPr="00521943">
        <w:t xml:space="preserve">systems. These were likely to result in </w:t>
      </w:r>
      <w:r w:rsidR="003C78C0" w:rsidRPr="00521943">
        <w:t xml:space="preserve">a destabilisation of our climate </w:t>
      </w:r>
      <w:r w:rsidR="007D0017" w:rsidRPr="00521943">
        <w:t>and long lasting and irreversible changes including the loss of key ecosystems</w:t>
      </w:r>
      <w:r w:rsidR="009958A1" w:rsidRPr="00521943">
        <w:t xml:space="preserve"> upon which millions of people depend</w:t>
      </w:r>
      <w:r w:rsidR="007D0017" w:rsidRPr="00521943">
        <w:t>. This included</w:t>
      </w:r>
      <w:r w:rsidR="003C78C0" w:rsidRPr="00521943">
        <w:t>,</w:t>
      </w:r>
      <w:r w:rsidR="007D0017" w:rsidRPr="00521943">
        <w:t xml:space="preserve"> for example</w:t>
      </w:r>
      <w:r w:rsidR="003C78C0" w:rsidRPr="00521943">
        <w:t>,</w:t>
      </w:r>
      <w:r w:rsidR="007D0017" w:rsidRPr="00521943">
        <w:t xml:space="preserve"> the </w:t>
      </w:r>
      <w:r w:rsidR="009958A1" w:rsidRPr="00521943">
        <w:t xml:space="preserve">estimated </w:t>
      </w:r>
      <w:r w:rsidR="007D0017" w:rsidRPr="00521943">
        <w:t xml:space="preserve">loss of over 99% of the world’s coral reefs under a scenario of a 2°C or greater temperature rise. </w:t>
      </w:r>
    </w:p>
    <w:p w:rsidR="000E49E9" w:rsidRPr="00521943" w:rsidRDefault="000E49E9" w:rsidP="00333FAA"/>
    <w:p w:rsidR="000E49E9" w:rsidRPr="00521943" w:rsidRDefault="006B6441" w:rsidP="00444081">
      <w:pPr>
        <w:ind w:left="720" w:hanging="720"/>
      </w:pPr>
      <w:r>
        <w:lastRenderedPageBreak/>
        <w:t>3.9</w:t>
      </w:r>
      <w:r>
        <w:tab/>
      </w:r>
      <w:r w:rsidR="007D0017" w:rsidRPr="00521943">
        <w:t xml:space="preserve">Since then, the school strikes inspired by Greta Thunberg and a range </w:t>
      </w:r>
      <w:r w:rsidR="006D660E" w:rsidRPr="00521943">
        <w:t>of campaigns</w:t>
      </w:r>
      <w:r w:rsidR="007D0017" w:rsidRPr="00521943">
        <w:t>, including the activities of the group Extinction Rebellion</w:t>
      </w:r>
      <w:r w:rsidR="00FE6F84">
        <w:t xml:space="preserve"> and the </w:t>
      </w:r>
      <w:r w:rsidR="008252B9" w:rsidRPr="00521943">
        <w:t xml:space="preserve">high profile interventions of Sir David Attenborough, </w:t>
      </w:r>
      <w:r w:rsidR="007D0017" w:rsidRPr="006D660E">
        <w:t xml:space="preserve">have served to push climate change </w:t>
      </w:r>
      <w:r w:rsidR="008252B9" w:rsidRPr="006D660E">
        <w:t xml:space="preserve">and ecological issues </w:t>
      </w:r>
      <w:r w:rsidR="006D660E" w:rsidRPr="006D660E">
        <w:t>further up the public agenda</w:t>
      </w:r>
      <w:r w:rsidR="009958A1" w:rsidRPr="006D660E">
        <w:t xml:space="preserve">. The Mayor of London formally declared a climate emergency in December 2018, as did </w:t>
      </w:r>
      <w:r w:rsidR="008252B9" w:rsidRPr="006D660E">
        <w:t xml:space="preserve">central </w:t>
      </w:r>
      <w:r w:rsidR="009958A1" w:rsidRPr="006D660E">
        <w:t>government in May 2019</w:t>
      </w:r>
      <w:r w:rsidR="008252B9" w:rsidRPr="006D660E">
        <w:t>. A</w:t>
      </w:r>
      <w:r w:rsidR="009958A1" w:rsidRPr="006D660E">
        <w:t xml:space="preserve">t the time of writing </w:t>
      </w:r>
      <w:r w:rsidR="00166238" w:rsidRPr="006D660E">
        <w:t xml:space="preserve">the majority of </w:t>
      </w:r>
      <w:r w:rsidR="00D64383" w:rsidRPr="006D660E">
        <w:t xml:space="preserve">Britain’s </w:t>
      </w:r>
      <w:r w:rsidR="00166238" w:rsidRPr="006D660E">
        <w:t xml:space="preserve">local </w:t>
      </w:r>
      <w:r w:rsidR="009958A1" w:rsidRPr="006D660E">
        <w:t xml:space="preserve">authorities, </w:t>
      </w:r>
      <w:r w:rsidR="00D64383" w:rsidRPr="006D660E">
        <w:t xml:space="preserve">estimated to </w:t>
      </w:r>
      <w:r w:rsidR="00DB4B39" w:rsidRPr="006D660E">
        <w:t xml:space="preserve">represent </w:t>
      </w:r>
      <w:r w:rsidR="00D64383" w:rsidRPr="006D660E">
        <w:t>over</w:t>
      </w:r>
      <w:r w:rsidR="00DB4B39" w:rsidRPr="006D660E">
        <w:t xml:space="preserve"> </w:t>
      </w:r>
      <w:r w:rsidR="009958A1" w:rsidRPr="006D660E">
        <w:t xml:space="preserve">80% of </w:t>
      </w:r>
      <w:r w:rsidR="00166238" w:rsidRPr="006D660E">
        <w:t xml:space="preserve">the </w:t>
      </w:r>
      <w:r w:rsidR="00FE6F84" w:rsidRPr="006D660E">
        <w:t xml:space="preserve">country’s </w:t>
      </w:r>
      <w:r w:rsidR="00166238" w:rsidRPr="006D660E">
        <w:t>population</w:t>
      </w:r>
      <w:r w:rsidR="009958A1" w:rsidRPr="006D660E">
        <w:t>, have declared climate emergency. Many authorities</w:t>
      </w:r>
      <w:r w:rsidR="008252B9" w:rsidRPr="006D660E">
        <w:t xml:space="preserve"> </w:t>
      </w:r>
      <w:r w:rsidR="009958A1" w:rsidRPr="006D660E">
        <w:t>like Harrow have declared an ambition to become carbon neutral by 2030, with some like Nottingham aiming for sooner dates (2028).</w:t>
      </w:r>
      <w:r w:rsidR="009958A1" w:rsidRPr="00521943">
        <w:t xml:space="preserve"> </w:t>
      </w:r>
    </w:p>
    <w:p w:rsidR="009958A1" w:rsidRPr="00521943" w:rsidRDefault="009958A1" w:rsidP="00333FAA"/>
    <w:p w:rsidR="009958A1" w:rsidRPr="00521943" w:rsidRDefault="006D660E" w:rsidP="006D660E">
      <w:pPr>
        <w:ind w:left="720" w:hanging="720"/>
      </w:pPr>
      <w:r>
        <w:t>3.10</w:t>
      </w:r>
      <w:r>
        <w:tab/>
      </w:r>
      <w:r w:rsidR="00B8186B" w:rsidRPr="00521943">
        <w:t xml:space="preserve">There is now an overwhelming scientific consensus regarding the need to take urgent action to address the climate and ecological emergency. </w:t>
      </w:r>
      <w:r w:rsidR="009958A1" w:rsidRPr="00521943">
        <w:t xml:space="preserve">In November 2019, 11,000 scientists from 153 nations </w:t>
      </w:r>
      <w:r w:rsidR="008252B9" w:rsidRPr="00521943">
        <w:t xml:space="preserve">warned in a </w:t>
      </w:r>
      <w:r w:rsidR="00170882">
        <w:t xml:space="preserve">joint </w:t>
      </w:r>
      <w:r w:rsidR="008252B9" w:rsidRPr="00521943">
        <w:t xml:space="preserve">statement in the journal </w:t>
      </w:r>
      <w:proofErr w:type="spellStart"/>
      <w:r w:rsidR="008252B9" w:rsidRPr="00521943">
        <w:t>BioScience</w:t>
      </w:r>
      <w:proofErr w:type="spellEnd"/>
      <w:r w:rsidR="008252B9" w:rsidRPr="00521943">
        <w:t xml:space="preserve">, </w:t>
      </w:r>
      <w:r w:rsidR="009958A1" w:rsidRPr="00521943">
        <w:t>‘We declare clearly and unequivocally that planet earth is facing a climate emergency . . . An immense increase in scale of endeavours to conserve our biosphere is needed to avoid untold suffering due to the climate crisis . . . To secure a sustainable future, we must change how we live. [This] entails major transformations in the ways our global society functions and interacts with natural ecosystems’</w:t>
      </w:r>
      <w:r w:rsidR="004649F7" w:rsidRPr="00521943">
        <w:t>.</w:t>
      </w:r>
      <w:r w:rsidR="009958A1" w:rsidRPr="00521943">
        <w:t xml:space="preserve"> </w:t>
      </w:r>
    </w:p>
    <w:p w:rsidR="009958A1" w:rsidRPr="00521943" w:rsidRDefault="009958A1" w:rsidP="009958A1"/>
    <w:p w:rsidR="00B15E8C" w:rsidRDefault="006D660E" w:rsidP="006D660E">
      <w:pPr>
        <w:ind w:left="720" w:hanging="720"/>
      </w:pPr>
      <w:r>
        <w:t>3.11</w:t>
      </w:r>
      <w:r>
        <w:tab/>
        <w:t xml:space="preserve">Most recently, </w:t>
      </w:r>
      <w:r w:rsidR="008252B9" w:rsidRPr="00521943">
        <w:t>in January</w:t>
      </w:r>
      <w:r w:rsidR="003C78C0" w:rsidRPr="00521943">
        <w:t xml:space="preserve"> 2020, the World Economic Forum</w:t>
      </w:r>
      <w:r w:rsidR="006D78FC" w:rsidRPr="00521943">
        <w:t>’</w:t>
      </w:r>
      <w:r w:rsidR="006F6A76" w:rsidRPr="00521943">
        <w:t>s Global Risks Report</w:t>
      </w:r>
      <w:r w:rsidR="008252B9" w:rsidRPr="00521943">
        <w:t xml:space="preserve"> found that the top five risks </w:t>
      </w:r>
      <w:r w:rsidR="006F6A76" w:rsidRPr="00521943">
        <w:t xml:space="preserve">facing the world’s </w:t>
      </w:r>
      <w:r w:rsidR="004649F7" w:rsidRPr="00521943">
        <w:t xml:space="preserve">business leaders are </w:t>
      </w:r>
      <w:r w:rsidR="006D78FC" w:rsidRPr="00521943">
        <w:t xml:space="preserve">now </w:t>
      </w:r>
      <w:r w:rsidR="004649F7" w:rsidRPr="00521943">
        <w:t>all linked to climate</w:t>
      </w:r>
      <w:r w:rsidR="003624E3" w:rsidRPr="00521943">
        <w:t xml:space="preserve"> and environmental issues</w:t>
      </w:r>
      <w:r w:rsidR="006F6A76" w:rsidRPr="00521943">
        <w:t>, including increases in extreme weather and natural disasters</w:t>
      </w:r>
      <w:r w:rsidR="006D78FC" w:rsidRPr="00521943">
        <w:t>, and major irreversible biodiversity loss resulting in severely depleted resources for humankind.</w:t>
      </w:r>
    </w:p>
    <w:p w:rsidR="00006F8B" w:rsidRDefault="00006F8B" w:rsidP="006D660E">
      <w:pPr>
        <w:ind w:left="720" w:hanging="720"/>
      </w:pPr>
    </w:p>
    <w:p w:rsidR="00006F8B" w:rsidRPr="00006F8B" w:rsidRDefault="00006F8B" w:rsidP="006D660E">
      <w:pPr>
        <w:ind w:left="720" w:hanging="720"/>
        <w:rPr>
          <w:b/>
        </w:rPr>
      </w:pPr>
      <w:r w:rsidRPr="00006F8B">
        <w:rPr>
          <w:b/>
        </w:rPr>
        <w:t xml:space="preserve">The </w:t>
      </w:r>
      <w:r>
        <w:rPr>
          <w:b/>
        </w:rPr>
        <w:t>Benefits of a Low Carbon T</w:t>
      </w:r>
      <w:r w:rsidRPr="00006F8B">
        <w:rPr>
          <w:b/>
        </w:rPr>
        <w:t>ransition</w:t>
      </w:r>
    </w:p>
    <w:p w:rsidR="00B15E8C" w:rsidRDefault="00B15E8C" w:rsidP="006D660E">
      <w:pPr>
        <w:ind w:left="720" w:hanging="720"/>
      </w:pPr>
    </w:p>
    <w:p w:rsidR="00B718FD" w:rsidRDefault="00B15E8C" w:rsidP="00B718FD">
      <w:pPr>
        <w:ind w:left="720" w:hanging="720"/>
      </w:pPr>
      <w:r>
        <w:t>3.12</w:t>
      </w:r>
      <w:r>
        <w:tab/>
        <w:t>The situation</w:t>
      </w:r>
      <w:r w:rsidR="00B340F6">
        <w:t xml:space="preserve"> is serious and there is an urgent</w:t>
      </w:r>
      <w:r>
        <w:t xml:space="preserve"> imperative to act in </w:t>
      </w:r>
      <w:r w:rsidR="00170882">
        <w:t xml:space="preserve">order </w:t>
      </w:r>
      <w:r w:rsidR="00B340F6">
        <w:t>to help</w:t>
      </w:r>
      <w:r>
        <w:t xml:space="preserve"> mitigate worsening social</w:t>
      </w:r>
      <w:r w:rsidR="00B718FD">
        <w:t xml:space="preserve">, </w:t>
      </w:r>
      <w:r>
        <w:t xml:space="preserve">environmental and economic outcomes of climate change. However, </w:t>
      </w:r>
      <w:r w:rsidR="00B718FD">
        <w:t xml:space="preserve">it is increasingly clear that </w:t>
      </w:r>
      <w:r>
        <w:t xml:space="preserve">doing so also offers the opportunity for radical and positive </w:t>
      </w:r>
      <w:r w:rsidR="00B718FD">
        <w:t xml:space="preserve">change across a wide range of areas that matter </w:t>
      </w:r>
      <w:r w:rsidR="00006F8B">
        <w:t xml:space="preserve">most </w:t>
      </w:r>
      <w:r w:rsidR="00B718FD">
        <w:t>to people in their day to day lives</w:t>
      </w:r>
      <w:r w:rsidR="00006F8B">
        <w:t>, including cleaner air, greener spaces, warmer homes, healthier travel and a thriving economy</w:t>
      </w:r>
      <w:r w:rsidR="00B718FD">
        <w:t xml:space="preserve">. </w:t>
      </w:r>
      <w:r w:rsidR="00810AF5">
        <w:t>In Harrow, f</w:t>
      </w:r>
      <w:r w:rsidR="00B718FD">
        <w:t xml:space="preserve">or example, moving away from combustion vehicles and encouraging active transport along healthy, liveable streets has the potential to significantly improve public health outcomes. This </w:t>
      </w:r>
      <w:r w:rsidR="00006F8B">
        <w:t xml:space="preserve">should </w:t>
      </w:r>
      <w:r w:rsidR="00B718FD">
        <w:t xml:space="preserve">reduce the current costs of NHS treatment and free up funding to be spent on </w:t>
      </w:r>
      <w:r w:rsidR="00006F8B">
        <w:t xml:space="preserve">additional </w:t>
      </w:r>
      <w:r w:rsidR="00B718FD">
        <w:t xml:space="preserve">low carbon measures </w:t>
      </w:r>
      <w:r w:rsidR="006B1467">
        <w:t xml:space="preserve">including </w:t>
      </w:r>
      <w:r w:rsidR="00B718FD">
        <w:t>home energy efficiency measures</w:t>
      </w:r>
      <w:r w:rsidR="00810AF5">
        <w:t xml:space="preserve"> and local renewable generation</w:t>
      </w:r>
      <w:r w:rsidR="00006F8B">
        <w:t>, in turn positively impacting issues such as fuel poverty</w:t>
      </w:r>
      <w:r w:rsidR="00B718FD">
        <w:t>. Similarly, reducing waste and growing a local green economy in repair and re-use of goods would result in more wealth being retained in the borough and create new local opportunities for skilled, meaningful work that directly benefits local communities and contributes to low carbon</w:t>
      </w:r>
      <w:r w:rsidR="00006F8B">
        <w:t xml:space="preserve"> outcomes</w:t>
      </w:r>
      <w:r w:rsidR="00B718FD">
        <w:t xml:space="preserve">. </w:t>
      </w:r>
    </w:p>
    <w:p w:rsidR="00B718FD" w:rsidRDefault="00B718FD" w:rsidP="00B718FD">
      <w:pPr>
        <w:ind w:left="720" w:hanging="720"/>
      </w:pPr>
    </w:p>
    <w:p w:rsidR="005A7C7B" w:rsidRDefault="005A7C7B" w:rsidP="004B3771">
      <w:pPr>
        <w:rPr>
          <w:b/>
        </w:rPr>
      </w:pPr>
    </w:p>
    <w:p w:rsidR="005A7C7B" w:rsidRDefault="005A7C7B" w:rsidP="004B3771">
      <w:pPr>
        <w:rPr>
          <w:b/>
        </w:rPr>
      </w:pPr>
    </w:p>
    <w:p w:rsidR="000F6240" w:rsidRPr="004A5707" w:rsidRDefault="00E13F70" w:rsidP="004B3771">
      <w:r w:rsidRPr="004A5707">
        <w:rPr>
          <w:b/>
        </w:rPr>
        <w:lastRenderedPageBreak/>
        <w:t>Carbon Neutrality</w:t>
      </w:r>
      <w:r w:rsidR="00B34C4F" w:rsidRPr="004A5707">
        <w:rPr>
          <w:b/>
        </w:rPr>
        <w:t>, Sequestration and Offsetting</w:t>
      </w:r>
    </w:p>
    <w:p w:rsidR="000F6240" w:rsidRPr="004A5707" w:rsidRDefault="000F6240" w:rsidP="004B3771"/>
    <w:p w:rsidR="00725729" w:rsidRPr="004A5707" w:rsidRDefault="003C66BA" w:rsidP="006D660E">
      <w:pPr>
        <w:ind w:left="720" w:hanging="720"/>
      </w:pPr>
      <w:r>
        <w:t>3.13</w:t>
      </w:r>
      <w:r w:rsidR="006D660E" w:rsidRPr="004A5707">
        <w:tab/>
      </w:r>
      <w:r w:rsidR="000C0C07" w:rsidRPr="004A5707">
        <w:t>Achieving</w:t>
      </w:r>
      <w:r w:rsidR="000C0C07" w:rsidRPr="004A5707">
        <w:rPr>
          <w:i/>
        </w:rPr>
        <w:t xml:space="preserve"> </w:t>
      </w:r>
      <w:r w:rsidR="000C0C07" w:rsidRPr="004A5707">
        <w:rPr>
          <w:b/>
          <w:i/>
        </w:rPr>
        <w:t>c</w:t>
      </w:r>
      <w:r w:rsidR="009F6F9C" w:rsidRPr="004A5707">
        <w:rPr>
          <w:b/>
          <w:i/>
        </w:rPr>
        <w:t>arbon neutrality</w:t>
      </w:r>
      <w:r w:rsidR="00360B42" w:rsidRPr="004A5707">
        <w:t xml:space="preserve"> for an organisation or geographic area</w:t>
      </w:r>
      <w:r w:rsidR="004B3771" w:rsidRPr="004A5707">
        <w:t xml:space="preserve">, refers to </w:t>
      </w:r>
      <w:r w:rsidR="00820597" w:rsidRPr="004A5707">
        <w:t xml:space="preserve">reducing </w:t>
      </w:r>
      <w:r w:rsidR="008E49E2" w:rsidRPr="004A5707">
        <w:t xml:space="preserve">the </w:t>
      </w:r>
      <w:r w:rsidR="00820597" w:rsidRPr="004A5707">
        <w:t xml:space="preserve">carbon emissions </w:t>
      </w:r>
      <w:r w:rsidR="000C0C07" w:rsidRPr="004A5707">
        <w:t xml:space="preserve">associated with </w:t>
      </w:r>
      <w:r w:rsidR="00875D73" w:rsidRPr="004A5707">
        <w:t xml:space="preserve">the </w:t>
      </w:r>
      <w:r w:rsidR="000C0C07" w:rsidRPr="004A5707">
        <w:t xml:space="preserve">human activity taking place there </w:t>
      </w:r>
      <w:r w:rsidR="00820597" w:rsidRPr="004A5707">
        <w:t xml:space="preserve">(principally </w:t>
      </w:r>
      <w:r w:rsidR="00170882">
        <w:t xml:space="preserve">those arising from </w:t>
      </w:r>
      <w:r w:rsidR="00820597" w:rsidRPr="004A5707">
        <w:t xml:space="preserve">the burning of fossil fuels) and </w:t>
      </w:r>
      <w:r w:rsidR="00A957E7" w:rsidRPr="004A5707">
        <w:t>then taking actions to balance out</w:t>
      </w:r>
      <w:r w:rsidR="004B3771" w:rsidRPr="004A5707">
        <w:t xml:space="preserve"> </w:t>
      </w:r>
      <w:r w:rsidR="00623346" w:rsidRPr="004A5707">
        <w:t xml:space="preserve">the </w:t>
      </w:r>
      <w:r w:rsidR="00820597" w:rsidRPr="004A5707">
        <w:t xml:space="preserve">remaining </w:t>
      </w:r>
      <w:r w:rsidR="004B3771" w:rsidRPr="004A5707">
        <w:t xml:space="preserve">carbon emissions </w:t>
      </w:r>
      <w:r w:rsidR="00A957E7" w:rsidRPr="004A5707">
        <w:t xml:space="preserve">that </w:t>
      </w:r>
      <w:r w:rsidR="000E49E9" w:rsidRPr="004A5707">
        <w:t xml:space="preserve">are </w:t>
      </w:r>
      <w:r w:rsidR="00360B42" w:rsidRPr="004A5707">
        <w:t>attributable to the organisation or area</w:t>
      </w:r>
      <w:r w:rsidR="00A957E7" w:rsidRPr="004A5707">
        <w:t xml:space="preserve">. This balancing </w:t>
      </w:r>
      <w:r w:rsidR="000E49E9" w:rsidRPr="004A5707">
        <w:t xml:space="preserve">exercise </w:t>
      </w:r>
      <w:r w:rsidR="00A957E7" w:rsidRPr="004A5707">
        <w:t xml:space="preserve">is achieved </w:t>
      </w:r>
      <w:r w:rsidR="0020355D" w:rsidRPr="004A5707">
        <w:t xml:space="preserve">by </w:t>
      </w:r>
      <w:r w:rsidR="000C0C07" w:rsidRPr="004A5707">
        <w:t>(</w:t>
      </w:r>
      <w:proofErr w:type="spellStart"/>
      <w:r w:rsidR="000C0C07" w:rsidRPr="004A5707">
        <w:t>i</w:t>
      </w:r>
      <w:proofErr w:type="spellEnd"/>
      <w:r w:rsidR="000C0C07" w:rsidRPr="004A5707">
        <w:t>)</w:t>
      </w:r>
      <w:r w:rsidR="00A957E7" w:rsidRPr="004A5707">
        <w:t xml:space="preserve"> absorbing</w:t>
      </w:r>
      <w:r w:rsidR="0020355D" w:rsidRPr="004A5707">
        <w:t xml:space="preserve">, or </w:t>
      </w:r>
      <w:r w:rsidR="0020355D" w:rsidRPr="004A5707">
        <w:rPr>
          <w:b/>
          <w:i/>
        </w:rPr>
        <w:t>sequester</w:t>
      </w:r>
      <w:r w:rsidR="00A957E7" w:rsidRPr="004A5707">
        <w:rPr>
          <w:b/>
          <w:i/>
        </w:rPr>
        <w:t>ing</w:t>
      </w:r>
      <w:r w:rsidR="00A957E7" w:rsidRPr="004A5707">
        <w:t xml:space="preserve">, </w:t>
      </w:r>
      <w:r w:rsidR="00242F05" w:rsidRPr="00521943">
        <w:t>CO</w:t>
      </w:r>
      <w:r w:rsidR="00242F05" w:rsidRPr="00361D87">
        <w:rPr>
          <w:vertAlign w:val="subscript"/>
        </w:rPr>
        <w:t>2</w:t>
      </w:r>
      <w:r w:rsidR="00242F05">
        <w:rPr>
          <w:vertAlign w:val="subscript"/>
        </w:rPr>
        <w:t xml:space="preserve"> </w:t>
      </w:r>
      <w:r w:rsidR="0020355D" w:rsidRPr="004A5707">
        <w:t>from the atmosphere</w:t>
      </w:r>
      <w:r w:rsidR="000C0C07" w:rsidRPr="004A5707">
        <w:t xml:space="preserve"> and / or (ii) </w:t>
      </w:r>
      <w:r w:rsidR="00A957E7" w:rsidRPr="004A5707">
        <w:t xml:space="preserve">investing </w:t>
      </w:r>
      <w:r w:rsidR="000C0C07" w:rsidRPr="004A5707">
        <w:t xml:space="preserve">in initiatives which </w:t>
      </w:r>
      <w:r w:rsidR="000A371A" w:rsidRPr="004A5707">
        <w:t xml:space="preserve">result in </w:t>
      </w:r>
      <w:r w:rsidR="000C0C07" w:rsidRPr="004A5707">
        <w:t xml:space="preserve">an equivalent </w:t>
      </w:r>
      <w:r w:rsidR="000A371A" w:rsidRPr="004A5707">
        <w:t xml:space="preserve">reduction of </w:t>
      </w:r>
      <w:r w:rsidR="000C0C07" w:rsidRPr="004A5707">
        <w:t>carbon emissions elsewhere (</w:t>
      </w:r>
      <w:r w:rsidR="00A21333" w:rsidRPr="004A5707">
        <w:t xml:space="preserve">typically </w:t>
      </w:r>
      <w:r w:rsidR="00A957E7" w:rsidRPr="004A5707">
        <w:t xml:space="preserve">this takes the form of </w:t>
      </w:r>
      <w:r w:rsidR="000C0C07" w:rsidRPr="004A5707">
        <w:t xml:space="preserve">funding additional renewable energy generation </w:t>
      </w:r>
      <w:r w:rsidR="000A371A" w:rsidRPr="004A5707">
        <w:t>capacity</w:t>
      </w:r>
      <w:r w:rsidR="000C0C07" w:rsidRPr="004A5707">
        <w:t>)</w:t>
      </w:r>
      <w:r w:rsidR="004B3771" w:rsidRPr="004A5707">
        <w:t>.</w:t>
      </w:r>
      <w:r w:rsidR="0020355D" w:rsidRPr="004A5707">
        <w:t xml:space="preserve"> </w:t>
      </w:r>
    </w:p>
    <w:p w:rsidR="00725729" w:rsidRPr="004A5707" w:rsidRDefault="00725729" w:rsidP="004B3771"/>
    <w:p w:rsidR="00605AFE" w:rsidRPr="004A5707" w:rsidRDefault="003C66BA" w:rsidP="006D660E">
      <w:pPr>
        <w:ind w:left="720" w:hanging="720"/>
      </w:pPr>
      <w:r>
        <w:t>3.14</w:t>
      </w:r>
      <w:r w:rsidR="006D660E" w:rsidRPr="004A5707">
        <w:tab/>
      </w:r>
      <w:r w:rsidR="00B34C4F" w:rsidRPr="004A5707">
        <w:t>Increased rates of s</w:t>
      </w:r>
      <w:r w:rsidR="0020355D" w:rsidRPr="004A5707">
        <w:t xml:space="preserve">equestration </w:t>
      </w:r>
      <w:r w:rsidR="00A21333" w:rsidRPr="004A5707">
        <w:t xml:space="preserve">can be achieved </w:t>
      </w:r>
      <w:r w:rsidR="0020355D" w:rsidRPr="004A5707">
        <w:t xml:space="preserve">through </w:t>
      </w:r>
      <w:r w:rsidR="001B3817" w:rsidRPr="004A5707">
        <w:t>an</w:t>
      </w:r>
      <w:r w:rsidR="00E077E8" w:rsidRPr="004A5707">
        <w:t xml:space="preserve"> </w:t>
      </w:r>
      <w:r w:rsidR="000E49E9" w:rsidRPr="004A5707">
        <w:t xml:space="preserve">overall </w:t>
      </w:r>
      <w:r w:rsidR="0020355D" w:rsidRPr="004A5707">
        <w:t xml:space="preserve">increase </w:t>
      </w:r>
      <w:r w:rsidR="00E077E8" w:rsidRPr="004A5707">
        <w:t xml:space="preserve">in </w:t>
      </w:r>
      <w:r w:rsidR="0020355D" w:rsidRPr="004A5707">
        <w:t xml:space="preserve">tree cover </w:t>
      </w:r>
      <w:r w:rsidR="00E077E8" w:rsidRPr="004A5707">
        <w:t xml:space="preserve">and other plant life, </w:t>
      </w:r>
      <w:r w:rsidR="0020355D" w:rsidRPr="004A5707">
        <w:t xml:space="preserve">and </w:t>
      </w:r>
      <w:r w:rsidR="00A957E7" w:rsidRPr="004A5707">
        <w:t xml:space="preserve">changes in </w:t>
      </w:r>
      <w:r w:rsidR="000E49E9" w:rsidRPr="004A5707">
        <w:t xml:space="preserve">land management and </w:t>
      </w:r>
      <w:r w:rsidR="00A957E7" w:rsidRPr="004A5707">
        <w:t xml:space="preserve">agricultural practice </w:t>
      </w:r>
      <w:r w:rsidR="00875D73" w:rsidRPr="004A5707">
        <w:t xml:space="preserve">to </w:t>
      </w:r>
      <w:r w:rsidR="008E49E2" w:rsidRPr="004A5707">
        <w:t xml:space="preserve">preserve and enhance </w:t>
      </w:r>
      <w:r w:rsidR="00DB6404" w:rsidRPr="004A5707">
        <w:t xml:space="preserve">both </w:t>
      </w:r>
      <w:r w:rsidR="008E49E2" w:rsidRPr="004A5707">
        <w:t>t</w:t>
      </w:r>
      <w:r w:rsidR="00E077E8" w:rsidRPr="004A5707">
        <w:t xml:space="preserve">he </w:t>
      </w:r>
      <w:r w:rsidR="00875D73" w:rsidRPr="004A5707">
        <w:t xml:space="preserve">quantity and </w:t>
      </w:r>
      <w:r w:rsidR="001B3817" w:rsidRPr="004A5707">
        <w:t xml:space="preserve">health </w:t>
      </w:r>
      <w:r w:rsidR="0020355D" w:rsidRPr="004A5707">
        <w:t>of the earth’s soils</w:t>
      </w:r>
      <w:r w:rsidR="00A957E7" w:rsidRPr="004A5707">
        <w:t>,</w:t>
      </w:r>
      <w:r w:rsidR="008E49E2" w:rsidRPr="004A5707">
        <w:t xml:space="preserve"> which </w:t>
      </w:r>
      <w:r w:rsidR="00725729" w:rsidRPr="004A5707">
        <w:t xml:space="preserve">are </w:t>
      </w:r>
      <w:r w:rsidR="00A957E7" w:rsidRPr="004A5707">
        <w:t xml:space="preserve">themselves </w:t>
      </w:r>
      <w:r w:rsidR="008E49E2" w:rsidRPr="004A5707">
        <w:t xml:space="preserve">a </w:t>
      </w:r>
      <w:r w:rsidR="001B3817" w:rsidRPr="004A5707">
        <w:t>major store of carbon.</w:t>
      </w:r>
    </w:p>
    <w:p w:rsidR="00605AFE" w:rsidRPr="004A5707" w:rsidRDefault="00605AFE" w:rsidP="004B3771"/>
    <w:p w:rsidR="00DD0427" w:rsidRPr="004A5707" w:rsidRDefault="00DD0427" w:rsidP="006D660E">
      <w:pPr>
        <w:ind w:left="720"/>
      </w:pPr>
      <w:r w:rsidRPr="004A5707">
        <w:t xml:space="preserve">If </w:t>
      </w:r>
      <w:r w:rsidR="00AC51EB" w:rsidRPr="004A5707">
        <w:t xml:space="preserve">undertaken </w:t>
      </w:r>
      <w:r w:rsidRPr="004A5707">
        <w:t xml:space="preserve">carefully using the correct mix of species, </w:t>
      </w:r>
      <w:r w:rsidR="00A957E7" w:rsidRPr="004A5707">
        <w:t xml:space="preserve">sequestration </w:t>
      </w:r>
      <w:r w:rsidR="00725729" w:rsidRPr="004A5707">
        <w:t xml:space="preserve">planting </w:t>
      </w:r>
      <w:r w:rsidRPr="004A5707">
        <w:t xml:space="preserve">initiatives </w:t>
      </w:r>
      <w:r w:rsidR="00725729" w:rsidRPr="004A5707">
        <w:t xml:space="preserve">also </w:t>
      </w:r>
      <w:r w:rsidRPr="004A5707">
        <w:t xml:space="preserve">have significant potential to </w:t>
      </w:r>
      <w:r w:rsidR="00725729" w:rsidRPr="004A5707">
        <w:t>prevent flood risk</w:t>
      </w:r>
      <w:r w:rsidR="000E49E9" w:rsidRPr="004A5707">
        <w:t>s</w:t>
      </w:r>
      <w:r w:rsidR="00725729" w:rsidRPr="004A5707">
        <w:t xml:space="preserve"> and enhance biodiversity, helping to </w:t>
      </w:r>
      <w:r w:rsidRPr="004A5707">
        <w:t xml:space="preserve">restore </w:t>
      </w:r>
      <w:r w:rsidR="00B34C4F" w:rsidRPr="004A5707">
        <w:t xml:space="preserve">the </w:t>
      </w:r>
      <w:r w:rsidRPr="004A5707">
        <w:t>damaged and degraded ecosystems upon which we all depend for clean air, water and food.</w:t>
      </w:r>
      <w:r w:rsidR="000A371A" w:rsidRPr="004A5707">
        <w:t xml:space="preserve"> </w:t>
      </w:r>
      <w:r w:rsidR="00725729" w:rsidRPr="004A5707">
        <w:t>It is important to be clear that t</w:t>
      </w:r>
      <w:r w:rsidR="00360B42" w:rsidRPr="004A5707">
        <w:t>here is not enough land in Harrow</w:t>
      </w:r>
      <w:r w:rsidR="000A371A" w:rsidRPr="004A5707">
        <w:t xml:space="preserve">, by some order of magnitude, </w:t>
      </w:r>
      <w:r w:rsidR="00360B42" w:rsidRPr="004A5707">
        <w:t xml:space="preserve">to sequester all of the borough’s </w:t>
      </w:r>
      <w:r w:rsidR="000A371A" w:rsidRPr="004A5707">
        <w:t xml:space="preserve">current carbon emissions. Nevertheless given </w:t>
      </w:r>
      <w:r w:rsidR="00B34C4F" w:rsidRPr="004A5707">
        <w:t xml:space="preserve">Harrow’s </w:t>
      </w:r>
      <w:r w:rsidR="000A371A" w:rsidRPr="004A5707">
        <w:t xml:space="preserve">good overall proportion of open space land, </w:t>
      </w:r>
      <w:r w:rsidR="00875D73" w:rsidRPr="004A5707">
        <w:t xml:space="preserve">and </w:t>
      </w:r>
      <w:r w:rsidR="000A371A" w:rsidRPr="004A5707">
        <w:t>its extensive network of private gardens, a</w:t>
      </w:r>
      <w:r w:rsidR="00B34C4F" w:rsidRPr="004A5707">
        <w:t xml:space="preserve">n assessment of </w:t>
      </w:r>
      <w:r w:rsidR="000A371A" w:rsidRPr="004A5707">
        <w:t xml:space="preserve">sequestration </w:t>
      </w:r>
      <w:r w:rsidR="00BE0F5F" w:rsidRPr="004A5707">
        <w:t xml:space="preserve">and ecological </w:t>
      </w:r>
      <w:r w:rsidR="00B34C4F" w:rsidRPr="004A5707">
        <w:t>benefits that can be achieved through</w:t>
      </w:r>
      <w:r w:rsidR="00BE0F5F" w:rsidRPr="004A5707">
        <w:t xml:space="preserve"> </w:t>
      </w:r>
      <w:r w:rsidR="00B34C4F" w:rsidRPr="004A5707">
        <w:t xml:space="preserve">well considered </w:t>
      </w:r>
      <w:r w:rsidR="00BE0F5F" w:rsidRPr="004A5707">
        <w:t xml:space="preserve">planting initiatives </w:t>
      </w:r>
      <w:r w:rsidR="008E49E2" w:rsidRPr="004A5707">
        <w:t xml:space="preserve">is proposed as a </w:t>
      </w:r>
      <w:r w:rsidR="00725729" w:rsidRPr="004A5707">
        <w:t xml:space="preserve">key </w:t>
      </w:r>
      <w:r w:rsidR="008E49E2" w:rsidRPr="004A5707">
        <w:t xml:space="preserve">future </w:t>
      </w:r>
      <w:r w:rsidR="00725729" w:rsidRPr="004A5707">
        <w:t>work stream</w:t>
      </w:r>
      <w:r w:rsidR="008E49E2" w:rsidRPr="004A5707">
        <w:t xml:space="preserve">. </w:t>
      </w:r>
      <w:r w:rsidR="000A371A" w:rsidRPr="004A5707">
        <w:t xml:space="preserve"> </w:t>
      </w:r>
    </w:p>
    <w:p w:rsidR="001B3817" w:rsidRPr="004A5707" w:rsidRDefault="001B3817" w:rsidP="004B3771"/>
    <w:p w:rsidR="001B3817" w:rsidRPr="004A5707" w:rsidRDefault="006D660E" w:rsidP="006D660E">
      <w:pPr>
        <w:ind w:left="720" w:hanging="720"/>
      </w:pPr>
      <w:r w:rsidRPr="004A5707">
        <w:t>3.1</w:t>
      </w:r>
      <w:r w:rsidR="003C66BA">
        <w:t>5</w:t>
      </w:r>
      <w:r w:rsidRPr="004A5707">
        <w:tab/>
      </w:r>
      <w:r w:rsidR="001B3817" w:rsidRPr="004A5707">
        <w:t xml:space="preserve">Carbon neutrality can technically be achieved by </w:t>
      </w:r>
      <w:r w:rsidR="00875D73" w:rsidRPr="004A5707">
        <w:t xml:space="preserve">an organisation continuing its </w:t>
      </w:r>
      <w:r w:rsidR="001B3817" w:rsidRPr="004A5707">
        <w:t xml:space="preserve">business as usual but paying to </w:t>
      </w:r>
      <w:r w:rsidR="001B3817" w:rsidRPr="004A5707">
        <w:rPr>
          <w:b/>
          <w:i/>
        </w:rPr>
        <w:t>offset</w:t>
      </w:r>
      <w:r w:rsidR="001B3817" w:rsidRPr="004A5707">
        <w:t xml:space="preserve"> </w:t>
      </w:r>
      <w:r w:rsidR="00A957E7" w:rsidRPr="004A5707">
        <w:t xml:space="preserve">its </w:t>
      </w:r>
      <w:r w:rsidR="001B3817" w:rsidRPr="004A5707">
        <w:t xml:space="preserve">emissions by funding sequestration </w:t>
      </w:r>
      <w:r w:rsidR="00AF31CE" w:rsidRPr="004A5707">
        <w:t xml:space="preserve">or carbon reduction </w:t>
      </w:r>
      <w:r w:rsidR="001B3817" w:rsidRPr="004A5707">
        <w:t xml:space="preserve">initiatives elsewhere. However, such an approach </w:t>
      </w:r>
      <w:r w:rsidR="00AF31CE" w:rsidRPr="004A5707">
        <w:t xml:space="preserve">on its own </w:t>
      </w:r>
      <w:r w:rsidR="001B3817" w:rsidRPr="004A5707">
        <w:t xml:space="preserve">does not </w:t>
      </w:r>
      <w:r w:rsidR="00DD0427" w:rsidRPr="004A5707">
        <w:t xml:space="preserve">achieve the </w:t>
      </w:r>
      <w:r w:rsidR="00B34C4F" w:rsidRPr="004A5707">
        <w:t xml:space="preserve">widespread, </w:t>
      </w:r>
      <w:r w:rsidR="00AF31CE" w:rsidRPr="004A5707">
        <w:t xml:space="preserve">systems level </w:t>
      </w:r>
      <w:r w:rsidR="00875D73" w:rsidRPr="004A5707">
        <w:t xml:space="preserve">social </w:t>
      </w:r>
      <w:r w:rsidR="00B34C4F" w:rsidRPr="004A5707">
        <w:t>a</w:t>
      </w:r>
      <w:r w:rsidR="00875D73" w:rsidRPr="004A5707">
        <w:t xml:space="preserve">nd economic </w:t>
      </w:r>
      <w:r w:rsidR="00AF31CE" w:rsidRPr="004A5707">
        <w:t>change that is required to meet th</w:t>
      </w:r>
      <w:r w:rsidR="008E49E2" w:rsidRPr="004A5707">
        <w:t>e</w:t>
      </w:r>
      <w:r w:rsidR="00AF31CE" w:rsidRPr="004A5707">
        <w:t xml:space="preserve"> challenge</w:t>
      </w:r>
      <w:r w:rsidR="008E49E2" w:rsidRPr="004A5707">
        <w:t xml:space="preserve"> of the climate</w:t>
      </w:r>
      <w:r w:rsidR="00575560" w:rsidRPr="004A5707">
        <w:t xml:space="preserve"> emergency</w:t>
      </w:r>
      <w:r w:rsidR="00DD0427" w:rsidRPr="004A5707">
        <w:t xml:space="preserve">. </w:t>
      </w:r>
      <w:r w:rsidR="0067690F" w:rsidRPr="004A5707">
        <w:t xml:space="preserve">Instead, </w:t>
      </w:r>
      <w:r w:rsidR="00AF31CE" w:rsidRPr="004A5707">
        <w:t>t</w:t>
      </w:r>
      <w:r w:rsidR="00DD0427" w:rsidRPr="004A5707">
        <w:t xml:space="preserve">he first priority </w:t>
      </w:r>
      <w:r w:rsidR="00AF31CE" w:rsidRPr="004A5707">
        <w:t xml:space="preserve">at an organisational level </w:t>
      </w:r>
      <w:r w:rsidR="00DD0427" w:rsidRPr="004A5707">
        <w:t xml:space="preserve">should be to reduce and remove </w:t>
      </w:r>
      <w:r w:rsidR="00AF31CE" w:rsidRPr="004A5707">
        <w:t>fossil fuel based emissions at source,</w:t>
      </w:r>
      <w:r w:rsidR="00DD0427" w:rsidRPr="004A5707">
        <w:t xml:space="preserve"> </w:t>
      </w:r>
      <w:r w:rsidR="006A70D3" w:rsidRPr="004A5707">
        <w:t xml:space="preserve">working towards </w:t>
      </w:r>
      <w:r w:rsidR="00360B42" w:rsidRPr="004A5707">
        <w:t xml:space="preserve">ultimately transitioning to </w:t>
      </w:r>
      <w:r w:rsidR="00DD0427" w:rsidRPr="004A5707">
        <w:rPr>
          <w:b/>
          <w:i/>
        </w:rPr>
        <w:t xml:space="preserve">zero </w:t>
      </w:r>
      <w:r w:rsidR="00AF31CE" w:rsidRPr="004A5707">
        <w:rPr>
          <w:b/>
          <w:i/>
        </w:rPr>
        <w:t>carbon</w:t>
      </w:r>
      <w:r w:rsidR="00AF31CE" w:rsidRPr="004A5707">
        <w:rPr>
          <w:i/>
        </w:rPr>
        <w:t xml:space="preserve"> </w:t>
      </w:r>
      <w:r w:rsidR="00AF31CE" w:rsidRPr="004A5707">
        <w:t xml:space="preserve">emission </w:t>
      </w:r>
      <w:r w:rsidR="00DD0427" w:rsidRPr="004A5707">
        <w:t xml:space="preserve">solutions in relation to </w:t>
      </w:r>
      <w:r w:rsidR="000A371A" w:rsidRPr="004A5707">
        <w:t xml:space="preserve">key </w:t>
      </w:r>
      <w:r w:rsidR="00DD0427" w:rsidRPr="004A5707">
        <w:t xml:space="preserve">areas such as </w:t>
      </w:r>
      <w:r w:rsidR="00C43066" w:rsidRPr="004A5707">
        <w:t xml:space="preserve">its </w:t>
      </w:r>
      <w:r w:rsidR="00DD0427" w:rsidRPr="004A5707">
        <w:t>energy and transport</w:t>
      </w:r>
      <w:r w:rsidR="00C43066" w:rsidRPr="004A5707">
        <w:t xml:space="preserve"> requirements</w:t>
      </w:r>
      <w:r w:rsidR="00DD0427" w:rsidRPr="004A5707">
        <w:t xml:space="preserve">. Where </w:t>
      </w:r>
      <w:r w:rsidR="000E129D" w:rsidRPr="004A5707">
        <w:t xml:space="preserve">the availability of </w:t>
      </w:r>
      <w:r w:rsidR="00DD0427" w:rsidRPr="004A5707">
        <w:t>technolog</w:t>
      </w:r>
      <w:r w:rsidR="00DB6404" w:rsidRPr="004A5707">
        <w:t xml:space="preserve">ical solutions </w:t>
      </w:r>
      <w:r w:rsidR="000E129D" w:rsidRPr="004A5707">
        <w:t xml:space="preserve">on an economic basis and </w:t>
      </w:r>
      <w:r w:rsidR="00875816" w:rsidRPr="004A5707">
        <w:t xml:space="preserve">/ or </w:t>
      </w:r>
      <w:r w:rsidR="00DB6404" w:rsidRPr="004A5707">
        <w:t xml:space="preserve">the  state </w:t>
      </w:r>
      <w:r w:rsidR="00AF31CE" w:rsidRPr="004A5707">
        <w:t xml:space="preserve">national infrastructure at the time </w:t>
      </w:r>
      <w:r w:rsidR="00381DBA" w:rsidRPr="004A5707">
        <w:t>prevents</w:t>
      </w:r>
      <w:r w:rsidR="00AF31CE" w:rsidRPr="004A5707">
        <w:t xml:space="preserve"> further reduction</w:t>
      </w:r>
      <w:r w:rsidR="00B34C4F" w:rsidRPr="004A5707">
        <w:t>s</w:t>
      </w:r>
      <w:r w:rsidR="00AF31CE" w:rsidRPr="004A5707">
        <w:t xml:space="preserve"> in emissions, </w:t>
      </w:r>
      <w:r w:rsidR="00BE0F5F" w:rsidRPr="004A5707">
        <w:t>a</w:t>
      </w:r>
      <w:r w:rsidR="000A371A" w:rsidRPr="004A5707">
        <w:t>n organisation</w:t>
      </w:r>
      <w:r w:rsidR="00AF31CE" w:rsidRPr="004A5707">
        <w:t xml:space="preserve"> may </w:t>
      </w:r>
      <w:r w:rsidR="008E49E2" w:rsidRPr="004A5707">
        <w:t xml:space="preserve">then </w:t>
      </w:r>
      <w:r w:rsidR="00AF31CE" w:rsidRPr="004A5707">
        <w:t>choose to adopt offsetting measures</w:t>
      </w:r>
      <w:r w:rsidR="00BE0F5F" w:rsidRPr="004A5707">
        <w:t xml:space="preserve"> in order to a</w:t>
      </w:r>
      <w:r w:rsidR="000A371A" w:rsidRPr="004A5707">
        <w:t>chi</w:t>
      </w:r>
      <w:r w:rsidR="00BE0F5F" w:rsidRPr="004A5707">
        <w:t>e</w:t>
      </w:r>
      <w:r w:rsidR="000A371A" w:rsidRPr="004A5707">
        <w:t>ve a</w:t>
      </w:r>
      <w:r w:rsidR="00A957E7" w:rsidRPr="004A5707">
        <w:t>n overall</w:t>
      </w:r>
      <w:r w:rsidR="000A371A" w:rsidRPr="004A5707">
        <w:t xml:space="preserve"> carbon neutral position</w:t>
      </w:r>
      <w:r w:rsidR="00AF31CE" w:rsidRPr="004A5707">
        <w:t xml:space="preserve">. </w:t>
      </w:r>
    </w:p>
    <w:p w:rsidR="0035161E" w:rsidRDefault="008E49E2" w:rsidP="004B3771">
      <w:r w:rsidRPr="004A5707">
        <w:t xml:space="preserve"> </w:t>
      </w:r>
    </w:p>
    <w:p w:rsidR="009763FC" w:rsidRPr="0035161E" w:rsidRDefault="00E13F70" w:rsidP="004B3771">
      <w:r w:rsidRPr="004A5707">
        <w:rPr>
          <w:b/>
        </w:rPr>
        <w:t>Emissions Data</w:t>
      </w:r>
    </w:p>
    <w:p w:rsidR="00E13F70" w:rsidRPr="004A5707" w:rsidRDefault="00E13F70" w:rsidP="004B3771"/>
    <w:p w:rsidR="009763FC" w:rsidRPr="004A5707" w:rsidRDefault="00815B64" w:rsidP="004A5707">
      <w:pPr>
        <w:ind w:left="720" w:hanging="720"/>
      </w:pPr>
      <w:r>
        <w:t>3.16</w:t>
      </w:r>
      <w:r w:rsidR="004A5707">
        <w:tab/>
      </w:r>
      <w:r w:rsidR="009763FC" w:rsidRPr="004A5707">
        <w:t xml:space="preserve">The </w:t>
      </w:r>
      <w:r w:rsidR="007B262C" w:rsidRPr="004A5707">
        <w:t xml:space="preserve">internationally adopted </w:t>
      </w:r>
      <w:r w:rsidR="009763FC" w:rsidRPr="004A5707">
        <w:t xml:space="preserve">Greenhouse Gas Protocol </w:t>
      </w:r>
      <w:r w:rsidR="00054646" w:rsidRPr="004A5707">
        <w:t xml:space="preserve">provides a </w:t>
      </w:r>
      <w:r w:rsidR="0067690F" w:rsidRPr="004A5707">
        <w:t xml:space="preserve">high level </w:t>
      </w:r>
      <w:r w:rsidR="00054646" w:rsidRPr="004A5707">
        <w:t>framework of three ‘scopes’ for categorising the sources of an area’s GHG emissions:</w:t>
      </w:r>
    </w:p>
    <w:p w:rsidR="009763FC" w:rsidRPr="004A5707" w:rsidRDefault="009763FC" w:rsidP="009763FC"/>
    <w:p w:rsidR="009763FC" w:rsidRPr="004A5707" w:rsidRDefault="009763FC" w:rsidP="004A5707">
      <w:pPr>
        <w:ind w:left="720"/>
      </w:pPr>
      <w:r w:rsidRPr="004A5707">
        <w:rPr>
          <w:u w:val="single"/>
        </w:rPr>
        <w:lastRenderedPageBreak/>
        <w:t>Scope 1</w:t>
      </w:r>
      <w:r w:rsidRPr="004A5707">
        <w:t>: direct emissions produced by sources in the area (</w:t>
      </w:r>
      <w:proofErr w:type="spellStart"/>
      <w:r w:rsidRPr="004A5707">
        <w:t>eg</w:t>
      </w:r>
      <w:proofErr w:type="spellEnd"/>
      <w:r w:rsidRPr="004A5707">
        <w:t xml:space="preserve"> road transport and gas heating)</w:t>
      </w:r>
      <w:r w:rsidR="005A7C7B">
        <w:t>;</w:t>
      </w:r>
    </w:p>
    <w:p w:rsidR="009763FC" w:rsidRPr="004A5707" w:rsidRDefault="009763FC" w:rsidP="009763FC"/>
    <w:p w:rsidR="009763FC" w:rsidRPr="004A5707" w:rsidRDefault="009763FC" w:rsidP="004A5707">
      <w:pPr>
        <w:ind w:left="720"/>
      </w:pPr>
      <w:r w:rsidRPr="004A5707">
        <w:rPr>
          <w:u w:val="single"/>
        </w:rPr>
        <w:t>Scope 2</w:t>
      </w:r>
      <w:r w:rsidRPr="004A5707">
        <w:t>: indirect emissions from the generation of purchased energy used in the area (</w:t>
      </w:r>
      <w:proofErr w:type="spellStart"/>
      <w:r w:rsidRPr="004A5707">
        <w:t>ie</w:t>
      </w:r>
      <w:proofErr w:type="spellEnd"/>
      <w:r w:rsidRPr="004A5707">
        <w:t xml:space="preserve"> electricity)</w:t>
      </w:r>
      <w:r w:rsidR="005A7C7B">
        <w:t>;</w:t>
      </w:r>
    </w:p>
    <w:p w:rsidR="009763FC" w:rsidRPr="004A5707" w:rsidRDefault="009763FC" w:rsidP="009763FC"/>
    <w:p w:rsidR="003A66DB" w:rsidRPr="004A5707" w:rsidRDefault="009763FC" w:rsidP="004A5707">
      <w:pPr>
        <w:ind w:left="720"/>
      </w:pPr>
      <w:r w:rsidRPr="004A5707">
        <w:rPr>
          <w:u w:val="single"/>
        </w:rPr>
        <w:t>Scope 3</w:t>
      </w:r>
      <w:r w:rsidRPr="004A5707">
        <w:t>: indirect emissions</w:t>
      </w:r>
      <w:r w:rsidR="004A5707">
        <w:t>, not included in Scope 2,</w:t>
      </w:r>
      <w:r w:rsidR="005A7C7B">
        <w:t xml:space="preserve"> </w:t>
      </w:r>
      <w:r w:rsidRPr="004A5707">
        <w:t>that are generated outside the area but as a result of activity taking place within the area (</w:t>
      </w:r>
      <w:proofErr w:type="spellStart"/>
      <w:r w:rsidRPr="004A5707">
        <w:t>eg</w:t>
      </w:r>
      <w:proofErr w:type="spellEnd"/>
      <w:r w:rsidRPr="004A5707">
        <w:t xml:space="preserve"> embedded carbon emissions in goods and services </w:t>
      </w:r>
      <w:r w:rsidR="0067690F" w:rsidRPr="004A5707">
        <w:t>consumed</w:t>
      </w:r>
      <w:r w:rsidRPr="004A5707">
        <w:t xml:space="preserve"> </w:t>
      </w:r>
      <w:r w:rsidR="0067690F" w:rsidRPr="004A5707">
        <w:t xml:space="preserve">and </w:t>
      </w:r>
      <w:r w:rsidRPr="004A5707">
        <w:t xml:space="preserve">international transport. These are </w:t>
      </w:r>
      <w:r w:rsidR="0067690F" w:rsidRPr="004A5707">
        <w:t xml:space="preserve">also commonly </w:t>
      </w:r>
      <w:r w:rsidRPr="004A5707">
        <w:t xml:space="preserve">referred to as </w:t>
      </w:r>
      <w:r w:rsidRPr="00DB6561">
        <w:t>consumption emissions</w:t>
      </w:r>
      <w:r w:rsidRPr="004A5707">
        <w:t>)</w:t>
      </w:r>
      <w:r w:rsidR="005A7C7B">
        <w:t>.</w:t>
      </w:r>
    </w:p>
    <w:p w:rsidR="009763FC" w:rsidRPr="004A5707" w:rsidRDefault="009763FC" w:rsidP="009763FC"/>
    <w:p w:rsidR="009763FC" w:rsidRDefault="009763FC" w:rsidP="004B3771">
      <w:pPr>
        <w:rPr>
          <w:color w:val="0000FF"/>
        </w:rPr>
      </w:pPr>
    </w:p>
    <w:p w:rsidR="009763FC" w:rsidRPr="005B6EFD" w:rsidRDefault="009763FC" w:rsidP="004B3771">
      <w:pPr>
        <w:rPr>
          <w:b/>
        </w:rPr>
      </w:pPr>
      <w:r w:rsidRPr="005B6EFD">
        <w:rPr>
          <w:b/>
        </w:rPr>
        <w:t xml:space="preserve">The Borough’s </w:t>
      </w:r>
      <w:r w:rsidR="00F6647D" w:rsidRPr="005B6EFD">
        <w:rPr>
          <w:b/>
        </w:rPr>
        <w:t xml:space="preserve">Scope 1 and Scope 2 </w:t>
      </w:r>
      <w:r w:rsidR="00B63235" w:rsidRPr="005B6EFD">
        <w:rPr>
          <w:b/>
        </w:rPr>
        <w:t xml:space="preserve">Emissions </w:t>
      </w:r>
    </w:p>
    <w:p w:rsidR="00F93F5F" w:rsidRPr="005B6EFD" w:rsidRDefault="00F93F5F" w:rsidP="00333FAA"/>
    <w:p w:rsidR="00D64383" w:rsidRDefault="00815B64" w:rsidP="00EB54CC">
      <w:pPr>
        <w:ind w:left="720" w:hanging="720"/>
        <w:rPr>
          <w:sz w:val="12"/>
          <w:szCs w:val="12"/>
        </w:rPr>
      </w:pPr>
      <w:r>
        <w:t>3.17</w:t>
      </w:r>
      <w:r w:rsidR="004A5707" w:rsidRPr="005B6EFD">
        <w:tab/>
      </w:r>
      <w:r w:rsidR="00DB6404" w:rsidRPr="005B6EFD">
        <w:t xml:space="preserve">The following charts illustrate </w:t>
      </w:r>
      <w:r w:rsidR="00717587" w:rsidRPr="005B6EFD">
        <w:t>t</w:t>
      </w:r>
      <w:r w:rsidR="00045FF5" w:rsidRPr="005B6EFD">
        <w:t>he borough’s estimated Scope 1 and S</w:t>
      </w:r>
      <w:r w:rsidR="00BB7E93" w:rsidRPr="005B6EFD">
        <w:t xml:space="preserve">cope 2 </w:t>
      </w:r>
      <w:r w:rsidR="00DB6404" w:rsidRPr="005B6EFD">
        <w:t xml:space="preserve">emissions. They </w:t>
      </w:r>
      <w:r w:rsidR="002915E7" w:rsidRPr="005B6EFD">
        <w:t xml:space="preserve">are based upon the SCATTER assessment tool for local authority emissions, developed by Manchester and Nottingham in collaboration with research and consultancy partners, </w:t>
      </w:r>
      <w:r w:rsidR="00717587" w:rsidRPr="005B6EFD">
        <w:t xml:space="preserve">and use national data applied to Harrow according to its population and </w:t>
      </w:r>
      <w:r w:rsidR="0090061A" w:rsidRPr="005B6EFD">
        <w:t xml:space="preserve">estimates </w:t>
      </w:r>
      <w:r w:rsidR="00717587" w:rsidRPr="005B6EFD">
        <w:t xml:space="preserve">of </w:t>
      </w:r>
      <w:r w:rsidR="00D64383" w:rsidRPr="005B6EFD">
        <w:t xml:space="preserve">the </w:t>
      </w:r>
      <w:r w:rsidR="00717587" w:rsidRPr="005B6EFD">
        <w:t xml:space="preserve">different types of </w:t>
      </w:r>
      <w:r w:rsidR="0090061A" w:rsidRPr="005B6EFD">
        <w:t xml:space="preserve">land use </w:t>
      </w:r>
      <w:r w:rsidR="00717587" w:rsidRPr="005B6EFD">
        <w:t>in the borough. As such the</w:t>
      </w:r>
      <w:r w:rsidR="00FB59B2" w:rsidRPr="005B6EFD">
        <w:t xml:space="preserve"> figures</w:t>
      </w:r>
      <w:r w:rsidR="00D64383" w:rsidRPr="005B6EFD">
        <w:t xml:space="preserve"> are approximations</w:t>
      </w:r>
      <w:r w:rsidR="00F57D90" w:rsidRPr="005B6EFD">
        <w:t xml:space="preserve"> only</w:t>
      </w:r>
      <w:r w:rsidR="00717587" w:rsidRPr="005B6EFD">
        <w:t>, but they do nevertheless serve to highlight</w:t>
      </w:r>
      <w:r w:rsidR="0090061A" w:rsidRPr="005B6EFD">
        <w:t xml:space="preserve"> the main sources of emissions for planning purposes. </w:t>
      </w:r>
      <w:r w:rsidR="00B7256F" w:rsidRPr="005B6EFD">
        <w:t>Figures are given in T</w:t>
      </w:r>
      <w:r w:rsidR="003C689A" w:rsidRPr="003C689A">
        <w:t xml:space="preserve"> </w:t>
      </w:r>
      <w:r w:rsidR="003C689A" w:rsidRPr="00521943">
        <w:t>CO</w:t>
      </w:r>
      <w:r w:rsidR="003C689A" w:rsidRPr="00361D87">
        <w:rPr>
          <w:vertAlign w:val="subscript"/>
        </w:rPr>
        <w:t>2</w:t>
      </w:r>
      <w:r w:rsidR="00B7256F" w:rsidRPr="005B6EFD">
        <w:t xml:space="preserve">e (tonnes of </w:t>
      </w:r>
      <w:r w:rsidR="003C689A" w:rsidRPr="00521943">
        <w:t>CO</w:t>
      </w:r>
      <w:r w:rsidR="003C689A" w:rsidRPr="00361D87">
        <w:rPr>
          <w:vertAlign w:val="subscript"/>
        </w:rPr>
        <w:t>2</w:t>
      </w:r>
      <w:r w:rsidR="003C689A">
        <w:rPr>
          <w:vertAlign w:val="subscript"/>
        </w:rPr>
        <w:t xml:space="preserve"> </w:t>
      </w:r>
      <w:r w:rsidR="00B7256F" w:rsidRPr="005B6EFD">
        <w:t>equivalent per annum).</w:t>
      </w:r>
    </w:p>
    <w:p w:rsidR="00EB54CC" w:rsidRPr="00EB54CC" w:rsidRDefault="00EB54CC" w:rsidP="00EB54CC">
      <w:pPr>
        <w:ind w:left="720" w:hanging="720"/>
        <w:rPr>
          <w:sz w:val="12"/>
          <w:szCs w:val="12"/>
        </w:rPr>
      </w:pPr>
    </w:p>
    <w:p w:rsidR="00D64383" w:rsidRPr="00717587" w:rsidRDefault="00D64383" w:rsidP="00BB7E93">
      <w:pPr>
        <w:rPr>
          <w:color w:val="0000FF"/>
        </w:rPr>
      </w:pPr>
      <w:r w:rsidRPr="00D64383">
        <w:rPr>
          <w:noProof/>
          <w:color w:val="0000FF"/>
          <w:lang w:eastAsia="en-GB"/>
        </w:rPr>
        <w:drawing>
          <wp:inline distT="0" distB="0" distL="0" distR="0" wp14:anchorId="5F3A5923" wp14:editId="5C7A6EB7">
            <wp:extent cx="5269423" cy="4602997"/>
            <wp:effectExtent l="0" t="0" r="266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7E93" w:rsidRDefault="00BB7E93" w:rsidP="00BB7E93">
      <w:pPr>
        <w:rPr>
          <w:color w:val="0000FF"/>
          <w:u w:val="single"/>
        </w:rPr>
      </w:pPr>
    </w:p>
    <w:p w:rsidR="00D64383" w:rsidRPr="005B6EFD" w:rsidRDefault="00D64383" w:rsidP="00BB7E93">
      <w:pPr>
        <w:rPr>
          <w:color w:val="0000FF"/>
        </w:rPr>
      </w:pPr>
    </w:p>
    <w:p w:rsidR="00444081" w:rsidRPr="005B6EFD" w:rsidRDefault="00815B64" w:rsidP="004A5707">
      <w:pPr>
        <w:ind w:left="720" w:hanging="720"/>
      </w:pPr>
      <w:r>
        <w:lastRenderedPageBreak/>
        <w:t>3.18</w:t>
      </w:r>
      <w:r w:rsidR="004A5707" w:rsidRPr="005B6EFD">
        <w:tab/>
      </w:r>
      <w:r w:rsidR="00706EB1" w:rsidRPr="005B6EFD">
        <w:t xml:space="preserve">The </w:t>
      </w:r>
      <w:r w:rsidR="00F57D90" w:rsidRPr="005B6EFD">
        <w:t xml:space="preserve">Scope 1 </w:t>
      </w:r>
      <w:r w:rsidR="00706EB1" w:rsidRPr="005B6EFD">
        <w:t>data</w:t>
      </w:r>
      <w:r w:rsidR="00BB7E93" w:rsidRPr="005B6EFD">
        <w:t xml:space="preserve"> indicates that </w:t>
      </w:r>
      <w:r w:rsidR="00706EB1" w:rsidRPr="005B6EFD">
        <w:t xml:space="preserve">approaching </w:t>
      </w:r>
      <w:r w:rsidR="0090061A" w:rsidRPr="005B6EFD">
        <w:t xml:space="preserve">60% of the borough’s </w:t>
      </w:r>
      <w:r w:rsidR="00D64383" w:rsidRPr="005B6EFD">
        <w:t xml:space="preserve">direct emissions </w:t>
      </w:r>
      <w:r w:rsidR="00706EB1" w:rsidRPr="005B6EFD">
        <w:t xml:space="preserve">are attributable to residential buildings. This </w:t>
      </w:r>
      <w:r w:rsidR="00E936F0" w:rsidRPr="005B6EFD">
        <w:t>will be</w:t>
      </w:r>
      <w:r w:rsidR="00F57D90" w:rsidRPr="005B6EFD">
        <w:t xml:space="preserve"> </w:t>
      </w:r>
      <w:r w:rsidR="00706EB1" w:rsidRPr="005B6EFD">
        <w:t xml:space="preserve">overwhelmingly comprised of their gas </w:t>
      </w:r>
      <w:r w:rsidR="00FB59B2" w:rsidRPr="005B6EFD">
        <w:t xml:space="preserve">heating and cooking </w:t>
      </w:r>
      <w:r w:rsidR="00706EB1" w:rsidRPr="005B6EFD">
        <w:t>requirement</w:t>
      </w:r>
      <w:r w:rsidR="00FB59B2" w:rsidRPr="005B6EFD">
        <w:t>s</w:t>
      </w:r>
      <w:r w:rsidR="00706EB1" w:rsidRPr="005B6EFD">
        <w:t>. The other main source</w:t>
      </w:r>
      <w:r w:rsidR="00F57D90" w:rsidRPr="005B6EFD">
        <w:t xml:space="preserve">, over one quarter of total emissions, </w:t>
      </w:r>
      <w:r w:rsidR="00706EB1" w:rsidRPr="005B6EFD">
        <w:t xml:space="preserve">is road transport, caused by combustion vehicles operating in our borough. The figure for waste is relatively low because </w:t>
      </w:r>
      <w:r w:rsidR="00F57D90" w:rsidRPr="005B6EFD">
        <w:t xml:space="preserve">this measure </w:t>
      </w:r>
      <w:r w:rsidR="00706EB1" w:rsidRPr="005B6EFD">
        <w:t>does not take into account the embedded Scope 3 consumption related emissions of the goods being disposed of (</w:t>
      </w:r>
      <w:proofErr w:type="spellStart"/>
      <w:r w:rsidR="00706EB1" w:rsidRPr="005B6EFD">
        <w:t>ie</w:t>
      </w:r>
      <w:proofErr w:type="spellEnd"/>
      <w:r w:rsidR="00706EB1" w:rsidRPr="005B6EFD">
        <w:t xml:space="preserve"> the </w:t>
      </w:r>
      <w:r w:rsidR="00242F05" w:rsidRPr="00521943">
        <w:t>CO</w:t>
      </w:r>
      <w:r w:rsidR="00242F05" w:rsidRPr="00361D87">
        <w:rPr>
          <w:vertAlign w:val="subscript"/>
        </w:rPr>
        <w:t>2</w:t>
      </w:r>
      <w:r w:rsidR="00242F05">
        <w:rPr>
          <w:vertAlign w:val="subscript"/>
        </w:rPr>
        <w:t xml:space="preserve"> </w:t>
      </w:r>
      <w:r w:rsidR="005A7C7B">
        <w:t xml:space="preserve">produced in the </w:t>
      </w:r>
      <w:r w:rsidR="00706EB1" w:rsidRPr="005B6EFD">
        <w:t>mak</w:t>
      </w:r>
      <w:r w:rsidR="00242F05">
        <w:t>ing</w:t>
      </w:r>
      <w:r w:rsidR="00706EB1" w:rsidRPr="005B6EFD">
        <w:t xml:space="preserve"> and transport</w:t>
      </w:r>
      <w:r w:rsidR="00242F05">
        <w:t>ing</w:t>
      </w:r>
      <w:r w:rsidR="00706EB1" w:rsidRPr="005B6EFD">
        <w:t xml:space="preserve"> the items– please see </w:t>
      </w:r>
      <w:r w:rsidR="0035161E">
        <w:t xml:space="preserve">further </w:t>
      </w:r>
      <w:r w:rsidR="00706EB1" w:rsidRPr="005B6EFD">
        <w:t xml:space="preserve">below). </w:t>
      </w:r>
      <w:r w:rsidR="00F57D90" w:rsidRPr="005B6EFD">
        <w:t>Figures for non-</w:t>
      </w:r>
      <w:r w:rsidR="00706EB1" w:rsidRPr="005B6EFD">
        <w:t>residential buildings</w:t>
      </w:r>
      <w:r w:rsidR="00F57D90" w:rsidRPr="005B6EFD">
        <w:t>, whilst significant in their own right</w:t>
      </w:r>
      <w:r w:rsidR="00F6647D" w:rsidRPr="005B6EFD">
        <w:t xml:space="preserve"> and </w:t>
      </w:r>
      <w:r w:rsidR="00FB59B2" w:rsidRPr="005B6EFD">
        <w:t xml:space="preserve">again </w:t>
      </w:r>
      <w:r w:rsidR="00F6647D" w:rsidRPr="005B6EFD">
        <w:t xml:space="preserve">primarily related to gas </w:t>
      </w:r>
      <w:r w:rsidR="00FB59B2" w:rsidRPr="005B6EFD">
        <w:t>usage</w:t>
      </w:r>
      <w:r w:rsidR="00F57D90" w:rsidRPr="005B6EFD">
        <w:t xml:space="preserve">, </w:t>
      </w:r>
      <w:r w:rsidR="00EB54CC">
        <w:t xml:space="preserve">are </w:t>
      </w:r>
      <w:r w:rsidR="00F57D90" w:rsidRPr="005B6EFD">
        <w:t xml:space="preserve">a </w:t>
      </w:r>
      <w:r w:rsidR="00706EB1" w:rsidRPr="005B6EFD">
        <w:t>lower</w:t>
      </w:r>
      <w:r w:rsidR="00F57D90" w:rsidRPr="005B6EFD">
        <w:t xml:space="preserve"> proportion of the whole</w:t>
      </w:r>
      <w:r w:rsidR="00706EB1" w:rsidRPr="005B6EFD">
        <w:t xml:space="preserve">, reflecting the </w:t>
      </w:r>
      <w:r w:rsidR="00F57D90" w:rsidRPr="005B6EFD">
        <w:t xml:space="preserve">overall </w:t>
      </w:r>
      <w:r w:rsidR="0035161E">
        <w:t xml:space="preserve">apportionment </w:t>
      </w:r>
      <w:r w:rsidR="00706EB1" w:rsidRPr="005B6EFD">
        <w:t xml:space="preserve">of </w:t>
      </w:r>
      <w:r w:rsidR="00EB54CC">
        <w:t xml:space="preserve">building </w:t>
      </w:r>
      <w:r w:rsidR="00706EB1" w:rsidRPr="005B6EFD">
        <w:t>use</w:t>
      </w:r>
      <w:r w:rsidR="00EB54CC">
        <w:t>s</w:t>
      </w:r>
      <w:r w:rsidR="00706EB1" w:rsidRPr="005B6EFD">
        <w:t xml:space="preserve"> in Harrow.</w:t>
      </w:r>
    </w:p>
    <w:p w:rsidR="003F4E35" w:rsidRPr="005B6EFD" w:rsidRDefault="003F4E35" w:rsidP="00BB7E93"/>
    <w:p w:rsidR="003F4E35" w:rsidRPr="005B6EFD" w:rsidRDefault="00815B64" w:rsidP="004A5707">
      <w:pPr>
        <w:ind w:left="720" w:hanging="720"/>
      </w:pPr>
      <w:r>
        <w:t>3.19</w:t>
      </w:r>
      <w:r w:rsidR="004A5707" w:rsidRPr="005B6EFD">
        <w:tab/>
      </w:r>
      <w:r w:rsidR="003F4E35" w:rsidRPr="005B6EFD">
        <w:t>Actions to address the borough’s</w:t>
      </w:r>
      <w:r w:rsidR="0038465C" w:rsidRPr="005B6EFD">
        <w:t xml:space="preserve"> directly produced </w:t>
      </w:r>
      <w:r w:rsidR="003F4E35" w:rsidRPr="005B6EFD">
        <w:t xml:space="preserve">emissions include: </w:t>
      </w:r>
      <w:r w:rsidR="0038465C" w:rsidRPr="005B6EFD">
        <w:t xml:space="preserve">installing </w:t>
      </w:r>
      <w:r w:rsidR="003F4E35" w:rsidRPr="005B6EFD">
        <w:t xml:space="preserve">heating efficiency measures such as roof and wall insulation, and </w:t>
      </w:r>
      <w:r w:rsidR="0038465C" w:rsidRPr="005B6EFD">
        <w:t xml:space="preserve">connecting properties to </w:t>
      </w:r>
      <w:r w:rsidR="003F4E35" w:rsidRPr="005B6EFD">
        <w:t>district heating systems; investing in alternatives to gas heating, such as ground source and air source heat pump technologies</w:t>
      </w:r>
      <w:r w:rsidR="0038465C" w:rsidRPr="005B6EFD">
        <w:t xml:space="preserve">; </w:t>
      </w:r>
      <w:r w:rsidR="0035161E">
        <w:t xml:space="preserve">and </w:t>
      </w:r>
      <w:r w:rsidR="004639A4" w:rsidRPr="005B6EFD">
        <w:t xml:space="preserve">reducing </w:t>
      </w:r>
      <w:r w:rsidR="003F4E35" w:rsidRPr="005B6EFD">
        <w:t xml:space="preserve">car </w:t>
      </w:r>
      <w:r w:rsidR="0038465C" w:rsidRPr="005B6EFD">
        <w:t xml:space="preserve">journeys by prioritising active and public transport, </w:t>
      </w:r>
      <w:r w:rsidR="003F4E35" w:rsidRPr="005B6EFD">
        <w:t xml:space="preserve">combined with electrification of </w:t>
      </w:r>
      <w:r w:rsidR="0038465C" w:rsidRPr="005B6EFD">
        <w:t xml:space="preserve">the </w:t>
      </w:r>
      <w:r w:rsidR="003F4E35" w:rsidRPr="005B6EFD">
        <w:t xml:space="preserve">remaining vehicles. </w:t>
      </w:r>
    </w:p>
    <w:p w:rsidR="00444081" w:rsidRPr="005B6EFD" w:rsidRDefault="00444081" w:rsidP="00BB7E93">
      <w:pPr>
        <w:rPr>
          <w:u w:val="single"/>
        </w:rPr>
      </w:pPr>
    </w:p>
    <w:p w:rsidR="00F6647D" w:rsidRDefault="00F6647D" w:rsidP="00BB7E93">
      <w:pPr>
        <w:rPr>
          <w:color w:val="0000FF"/>
          <w:u w:val="single"/>
        </w:rPr>
      </w:pPr>
    </w:p>
    <w:p w:rsidR="00F6647D" w:rsidRDefault="00F6647D" w:rsidP="00BB7E93">
      <w:pPr>
        <w:rPr>
          <w:color w:val="0000FF"/>
          <w:u w:val="single"/>
        </w:rPr>
      </w:pPr>
      <w:r w:rsidRPr="00F6647D">
        <w:rPr>
          <w:noProof/>
          <w:color w:val="0000FF"/>
          <w:u w:val="single"/>
          <w:lang w:eastAsia="en-GB"/>
        </w:rPr>
        <w:drawing>
          <wp:inline distT="0" distB="0" distL="0" distR="0" wp14:anchorId="20D7D73B" wp14:editId="1368C575">
            <wp:extent cx="5276215" cy="3748593"/>
            <wp:effectExtent l="0" t="0" r="19685"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47D" w:rsidRPr="005B6EFD" w:rsidRDefault="00F6647D" w:rsidP="00BB7E93">
      <w:pPr>
        <w:rPr>
          <w:u w:val="single"/>
        </w:rPr>
      </w:pPr>
    </w:p>
    <w:p w:rsidR="00815B64" w:rsidRDefault="00815B64" w:rsidP="004A5707">
      <w:pPr>
        <w:ind w:left="720" w:hanging="720"/>
      </w:pPr>
      <w:r>
        <w:t>3.20</w:t>
      </w:r>
      <w:r w:rsidR="004A5707" w:rsidRPr="005B6EFD">
        <w:tab/>
      </w:r>
      <w:r w:rsidR="00F6647D" w:rsidRPr="005B6EFD">
        <w:t xml:space="preserve">Scope 2 </w:t>
      </w:r>
      <w:r w:rsidR="004639A4" w:rsidRPr="005B6EFD">
        <w:t xml:space="preserve">emissions </w:t>
      </w:r>
      <w:r w:rsidR="00FB59B2" w:rsidRPr="005B6EFD">
        <w:t>reflect the fact that</w:t>
      </w:r>
      <w:r w:rsidR="00444081" w:rsidRPr="005B6EFD">
        <w:t xml:space="preserve"> </w:t>
      </w:r>
      <w:r w:rsidR="006D660E" w:rsidRPr="005B6EFD">
        <w:t xml:space="preserve">nationally </w:t>
      </w:r>
      <w:r w:rsidR="00444081" w:rsidRPr="005B6EFD">
        <w:t xml:space="preserve">our electricity is generated from a </w:t>
      </w:r>
      <w:r w:rsidR="006D660E" w:rsidRPr="005B6EFD">
        <w:t xml:space="preserve">mix </w:t>
      </w:r>
      <w:r w:rsidR="00444081" w:rsidRPr="005B6EFD">
        <w:t>of sources</w:t>
      </w:r>
      <w:r w:rsidR="006D660E" w:rsidRPr="005B6EFD">
        <w:t xml:space="preserve">. Whilst </w:t>
      </w:r>
      <w:r w:rsidR="00444081" w:rsidRPr="005B6EFD">
        <w:t xml:space="preserve">the share of renewable generation </w:t>
      </w:r>
      <w:r w:rsidR="003F4E35" w:rsidRPr="005B6EFD">
        <w:t>is increasing</w:t>
      </w:r>
      <w:r w:rsidR="006D660E" w:rsidRPr="005B6EFD">
        <w:t xml:space="preserve">, principally </w:t>
      </w:r>
      <w:r w:rsidR="003F4E35" w:rsidRPr="005B6EFD">
        <w:t xml:space="preserve">as </w:t>
      </w:r>
      <w:r w:rsidR="00FD5752">
        <w:t xml:space="preserve">a </w:t>
      </w:r>
      <w:r w:rsidR="003F4E35" w:rsidRPr="005B6EFD">
        <w:t xml:space="preserve">result of </w:t>
      </w:r>
      <w:r w:rsidR="006D660E" w:rsidRPr="005B6EFD">
        <w:t>large scale wind</w:t>
      </w:r>
      <w:r w:rsidR="003F4E35" w:rsidRPr="005B6EFD">
        <w:t xml:space="preserve"> instal</w:t>
      </w:r>
      <w:r w:rsidR="006D660E" w:rsidRPr="005B6EFD">
        <w:t xml:space="preserve">lations, </w:t>
      </w:r>
      <w:r w:rsidR="003F4E35" w:rsidRPr="005B6EFD">
        <w:t xml:space="preserve">the </w:t>
      </w:r>
      <w:r w:rsidR="004639A4" w:rsidRPr="005B6EFD">
        <w:t xml:space="preserve">national </w:t>
      </w:r>
      <w:r w:rsidR="003F4E35" w:rsidRPr="005B6EFD">
        <w:t>grid</w:t>
      </w:r>
      <w:r w:rsidR="00444081" w:rsidRPr="005B6EFD">
        <w:t xml:space="preserve"> </w:t>
      </w:r>
      <w:r w:rsidR="00FB59B2" w:rsidRPr="005B6EFD">
        <w:t>is not yet decarbonised</w:t>
      </w:r>
      <w:r w:rsidR="003F4E35" w:rsidRPr="005B6EFD">
        <w:t xml:space="preserve"> and still relies for a significant proportion of its generation capacity upon fossil fuels, now mainly </w:t>
      </w:r>
      <w:r w:rsidR="0035161E">
        <w:t xml:space="preserve">produced by </w:t>
      </w:r>
      <w:r w:rsidR="003F4E35" w:rsidRPr="005B6EFD">
        <w:t>gas</w:t>
      </w:r>
      <w:r w:rsidR="00FD5752">
        <w:t xml:space="preserve"> turbines</w:t>
      </w:r>
      <w:r w:rsidR="003F4E35" w:rsidRPr="005B6EFD">
        <w:t xml:space="preserve">. </w:t>
      </w:r>
      <w:r w:rsidR="00444081" w:rsidRPr="005B6EFD">
        <w:t>People in Harrow can nevertheless reduce their amount of electricity related emi</w:t>
      </w:r>
      <w:r w:rsidR="006D660E" w:rsidRPr="005B6EFD">
        <w:t>ssions in a number of ways:</w:t>
      </w:r>
      <w:r w:rsidR="00444081" w:rsidRPr="005B6EFD">
        <w:t xml:space="preserve"> </w:t>
      </w:r>
      <w:r w:rsidR="006D660E" w:rsidRPr="005B6EFD">
        <w:t>f</w:t>
      </w:r>
      <w:r w:rsidR="00444081" w:rsidRPr="005B6EFD">
        <w:t xml:space="preserve">irstly, by using electricity more efficiently, upgrading inefficient </w:t>
      </w:r>
      <w:r w:rsidR="00444081" w:rsidRPr="005B6EFD">
        <w:lastRenderedPageBreak/>
        <w:t xml:space="preserve">equipment and adopting better </w:t>
      </w:r>
      <w:r w:rsidR="006D660E" w:rsidRPr="005B6EFD">
        <w:t xml:space="preserve">energy usage habits; secondly, </w:t>
      </w:r>
      <w:r w:rsidR="00444081" w:rsidRPr="005B6EFD">
        <w:t xml:space="preserve">by switching to renewable energy </w:t>
      </w:r>
      <w:r w:rsidR="006D660E" w:rsidRPr="005B6EFD">
        <w:t xml:space="preserve">suppliers </w:t>
      </w:r>
      <w:r w:rsidR="00444081" w:rsidRPr="005B6EFD">
        <w:t xml:space="preserve">that invest in new renewable generation capacity nationally; and thirdly by </w:t>
      </w:r>
      <w:r w:rsidR="006D660E" w:rsidRPr="005B6EFD">
        <w:t xml:space="preserve">meeting </w:t>
      </w:r>
      <w:r w:rsidR="00444081" w:rsidRPr="005B6EFD">
        <w:t xml:space="preserve">more of </w:t>
      </w:r>
      <w:r w:rsidR="006D660E" w:rsidRPr="005B6EFD">
        <w:t xml:space="preserve">our </w:t>
      </w:r>
      <w:r w:rsidR="00444081" w:rsidRPr="005B6EFD">
        <w:t xml:space="preserve">electricity </w:t>
      </w:r>
      <w:r w:rsidR="0035161E">
        <w:t xml:space="preserve">demand </w:t>
      </w:r>
      <w:r w:rsidR="00444081" w:rsidRPr="005B6EFD">
        <w:t>locally from re</w:t>
      </w:r>
      <w:r w:rsidR="006D660E" w:rsidRPr="005B6EFD">
        <w:t>newable sources such as solar.</w:t>
      </w:r>
    </w:p>
    <w:p w:rsidR="00815B64" w:rsidRDefault="00815B64" w:rsidP="004A5707">
      <w:pPr>
        <w:ind w:left="720" w:hanging="720"/>
      </w:pPr>
    </w:p>
    <w:p w:rsidR="00F6647D" w:rsidRPr="005B6EFD" w:rsidRDefault="00C23AD6" w:rsidP="004A5707">
      <w:pPr>
        <w:ind w:left="720" w:hanging="720"/>
      </w:pPr>
      <w:r>
        <w:t>3.21</w:t>
      </w:r>
      <w:r w:rsidR="006D660E" w:rsidRPr="005B6EFD">
        <w:t xml:space="preserve">  </w:t>
      </w:r>
      <w:r w:rsidR="00815B64">
        <w:tab/>
        <w:t xml:space="preserve">Taken together, the scale of the borough’s Scope 1 and Scope 2 </w:t>
      </w:r>
      <w:r w:rsidR="00DB6561">
        <w:t xml:space="preserve">current </w:t>
      </w:r>
      <w:r w:rsidR="00815B64">
        <w:t xml:space="preserve">emissions (at over 650,000 tonnes of </w:t>
      </w:r>
      <w:r w:rsidR="00242F05" w:rsidRPr="00242F05">
        <w:t xml:space="preserve"> </w:t>
      </w:r>
      <w:r w:rsidR="00242F05" w:rsidRPr="00521943">
        <w:t>CO</w:t>
      </w:r>
      <w:r w:rsidR="00242F05" w:rsidRPr="00361D87">
        <w:rPr>
          <w:vertAlign w:val="subscript"/>
        </w:rPr>
        <w:t>2</w:t>
      </w:r>
      <w:r w:rsidR="00815B64">
        <w:t xml:space="preserve">e), show the level and pace of change that will be required across the borough in order to transition to a carbon neutral position. </w:t>
      </w:r>
      <w:r w:rsidR="0035161E">
        <w:t>T</w:t>
      </w:r>
      <w:r w:rsidR="00815B64" w:rsidRPr="00815B64">
        <w:t xml:space="preserve">he next phase of work will be to map carbon reduction pathways to 2030 for both the organisation and the borough as a whole, which will help determine any shortfall in achieving </w:t>
      </w:r>
      <w:r w:rsidR="00815B64">
        <w:t xml:space="preserve">that </w:t>
      </w:r>
      <w:r w:rsidR="00815B64" w:rsidRPr="00815B64">
        <w:t>position</w:t>
      </w:r>
      <w:r w:rsidR="00815B64">
        <w:t xml:space="preserve"> and inform future local decision making</w:t>
      </w:r>
      <w:r w:rsidR="00815B64" w:rsidRPr="00815B64">
        <w:t xml:space="preserve">.  </w:t>
      </w:r>
    </w:p>
    <w:p w:rsidR="0090061A" w:rsidRPr="005B6EFD" w:rsidRDefault="0090061A" w:rsidP="00BB7E93">
      <w:pPr>
        <w:rPr>
          <w:u w:val="single"/>
        </w:rPr>
      </w:pPr>
    </w:p>
    <w:p w:rsidR="00717587" w:rsidRPr="005B6EFD" w:rsidRDefault="00717587" w:rsidP="00717587">
      <w:pPr>
        <w:rPr>
          <w:b/>
        </w:rPr>
      </w:pPr>
      <w:r w:rsidRPr="005B6EFD">
        <w:rPr>
          <w:b/>
        </w:rPr>
        <w:t xml:space="preserve">Scope 3 Consumption Emissions </w:t>
      </w:r>
    </w:p>
    <w:p w:rsidR="00717587" w:rsidRPr="005B6EFD" w:rsidRDefault="00717587" w:rsidP="00717587"/>
    <w:p w:rsidR="00717587" w:rsidRPr="005B6EFD" w:rsidRDefault="003C66BA" w:rsidP="004A5707">
      <w:pPr>
        <w:ind w:left="720" w:hanging="720"/>
      </w:pPr>
      <w:r>
        <w:t>3.2</w:t>
      </w:r>
      <w:r w:rsidR="00C23AD6">
        <w:t>2</w:t>
      </w:r>
      <w:r w:rsidR="004A5707" w:rsidRPr="005B6EFD">
        <w:tab/>
      </w:r>
      <w:r w:rsidR="00717587" w:rsidRPr="005B6EFD">
        <w:t xml:space="preserve">Whilst Scope 1 and 2 emissions pertaining to an organisation and, to a lesser degree of accuracy, an area can be calculated, there is currently no easy means of ascertaining </w:t>
      </w:r>
      <w:r w:rsidR="004639A4" w:rsidRPr="005B6EFD">
        <w:t xml:space="preserve">all </w:t>
      </w:r>
      <w:r w:rsidR="00717587" w:rsidRPr="005B6EFD">
        <w:t xml:space="preserve">Scope 3 consumption emissions. </w:t>
      </w:r>
    </w:p>
    <w:p w:rsidR="00717587" w:rsidRPr="005B6EFD" w:rsidRDefault="00717587" w:rsidP="00717587"/>
    <w:p w:rsidR="00717587" w:rsidRPr="005B6EFD" w:rsidRDefault="003C66BA" w:rsidP="004A5707">
      <w:pPr>
        <w:ind w:left="720" w:hanging="720"/>
      </w:pPr>
      <w:r>
        <w:t>3.23</w:t>
      </w:r>
      <w:r w:rsidR="004A5707" w:rsidRPr="005B6EFD">
        <w:tab/>
      </w:r>
      <w:r w:rsidR="00717587" w:rsidRPr="005B6EFD">
        <w:t>The SCATTER assessment tool estimates Harrow’s aviation based consumption emissions at 132,000 t</w:t>
      </w:r>
      <w:r w:rsidR="00242F05" w:rsidRPr="00242F05">
        <w:t xml:space="preserve"> </w:t>
      </w:r>
      <w:r w:rsidR="00242F05" w:rsidRPr="00521943">
        <w:t>CO</w:t>
      </w:r>
      <w:r w:rsidR="00242F05" w:rsidRPr="00361D87">
        <w:rPr>
          <w:vertAlign w:val="subscript"/>
        </w:rPr>
        <w:t>2</w:t>
      </w:r>
      <w:r w:rsidR="00717587" w:rsidRPr="005B6EFD">
        <w:t xml:space="preserve">e per year. </w:t>
      </w:r>
      <w:r w:rsidR="00DB6561">
        <w:t>T</w:t>
      </w:r>
      <w:r w:rsidR="00717587" w:rsidRPr="005B6EFD">
        <w:t>his figure is based upon national data applied uniformly on a per capita basis and may underestimate the volume of air travel attributable to those living and working in o</w:t>
      </w:r>
      <w:r w:rsidR="0035161E">
        <w:t xml:space="preserve">ur multi-cultural borough. </w:t>
      </w:r>
      <w:r w:rsidR="00DB6561">
        <w:t>However, t</w:t>
      </w:r>
      <w:r w:rsidR="0035161E">
        <w:t xml:space="preserve">he figure </w:t>
      </w:r>
      <w:r w:rsidR="00717587" w:rsidRPr="005B6EFD">
        <w:t>is in any event greater than the total estimated on road transport emissions in the borough (see above).</w:t>
      </w:r>
    </w:p>
    <w:p w:rsidR="00717587" w:rsidRPr="005B6EFD" w:rsidRDefault="00717587" w:rsidP="00717587"/>
    <w:p w:rsidR="00717587" w:rsidRPr="005B6EFD" w:rsidRDefault="003C66BA" w:rsidP="00FD5752">
      <w:pPr>
        <w:ind w:left="720" w:hanging="720"/>
      </w:pPr>
      <w:r>
        <w:t>3.24</w:t>
      </w:r>
      <w:r w:rsidR="004A5707" w:rsidRPr="005B6EFD">
        <w:tab/>
      </w:r>
      <w:r w:rsidR="00717587" w:rsidRPr="005B6EFD">
        <w:t xml:space="preserve">It is understood that the GLA has commissioned work to look further at London’s consumption emissions, due to be published later this year, and this should help to provide a clearer </w:t>
      </w:r>
      <w:r w:rsidR="0035161E">
        <w:t xml:space="preserve">overall </w:t>
      </w:r>
      <w:r w:rsidR="00717587" w:rsidRPr="005B6EFD">
        <w:t>position. In the meantime, it is highly likely that due to UK society’s high levels of consumption and the volume of imported goods (including food) and services, the borough’s Scope 3 emissions will exceed its combined Scope 1 and 2 emissions by some margin. This in turn indicate</w:t>
      </w:r>
      <w:r w:rsidR="00DB6561">
        <w:t>s</w:t>
      </w:r>
      <w:r w:rsidR="005A7C7B">
        <w:t xml:space="preserve"> </w:t>
      </w:r>
      <w:r w:rsidR="00717587" w:rsidRPr="005B6EFD">
        <w:t xml:space="preserve">that taking meaningful and informed actions to change the way that we collectively consume goods and services (such as moving towards low meat diets and buying more locally grown and seasonal food), and limiting the amount of waste we produce, will have significant beneficial impacts on the overall emissions position.  </w:t>
      </w:r>
    </w:p>
    <w:p w:rsidR="00717587" w:rsidRPr="005B6EFD" w:rsidRDefault="00717587" w:rsidP="00333FAA"/>
    <w:p w:rsidR="00875FC8" w:rsidRPr="008E1FCF" w:rsidRDefault="00875FC8" w:rsidP="00875FC8">
      <w:pPr>
        <w:rPr>
          <w:b/>
        </w:rPr>
      </w:pPr>
      <w:r w:rsidRPr="008E1FCF">
        <w:rPr>
          <w:b/>
        </w:rPr>
        <w:t>Harrow Council’s Emission Reductions</w:t>
      </w:r>
      <w:r w:rsidR="008644EC" w:rsidRPr="008E1FCF">
        <w:rPr>
          <w:b/>
        </w:rPr>
        <w:t xml:space="preserve"> </w:t>
      </w:r>
      <w:r w:rsidR="0038465C" w:rsidRPr="008E1FCF">
        <w:rPr>
          <w:b/>
        </w:rPr>
        <w:t>and Work to Date</w:t>
      </w:r>
    </w:p>
    <w:p w:rsidR="00875FC8" w:rsidRPr="008E1FCF" w:rsidRDefault="00875FC8" w:rsidP="00875FC8"/>
    <w:p w:rsidR="00875FC8" w:rsidRPr="008E1FCF" w:rsidRDefault="003C66BA" w:rsidP="005B6EFD">
      <w:pPr>
        <w:ind w:left="720" w:hanging="720"/>
      </w:pPr>
      <w:r w:rsidRPr="008E1FCF">
        <w:t>3.25</w:t>
      </w:r>
      <w:r w:rsidR="005B6EFD" w:rsidRPr="008E1FCF">
        <w:tab/>
      </w:r>
      <w:r w:rsidR="00875FC8" w:rsidRPr="008E1FCF">
        <w:t xml:space="preserve">Between 2012 and 2019 the Council has managed to decrease the core CO2 emissions attributable to its </w:t>
      </w:r>
      <w:r w:rsidR="00AB3C8A" w:rsidRPr="008E1FCF">
        <w:t xml:space="preserve">direct </w:t>
      </w:r>
      <w:r w:rsidR="00875FC8" w:rsidRPr="008E1FCF">
        <w:t>gas</w:t>
      </w:r>
      <w:r w:rsidR="00AB3C8A" w:rsidRPr="008E1FCF">
        <w:t>, fleet transport</w:t>
      </w:r>
      <w:r w:rsidR="00875FC8" w:rsidRPr="008E1FCF">
        <w:t xml:space="preserve"> and electricity usage</w:t>
      </w:r>
      <w:r w:rsidR="00AB3C8A" w:rsidRPr="008E1FCF">
        <w:t xml:space="preserve"> </w:t>
      </w:r>
      <w:r w:rsidR="00875FC8" w:rsidRPr="008E1FCF">
        <w:t>from 26,446 t</w:t>
      </w:r>
      <w:r w:rsidR="00242F05" w:rsidRPr="00242F05">
        <w:t xml:space="preserve"> </w:t>
      </w:r>
      <w:r w:rsidR="00242F05" w:rsidRPr="00521943">
        <w:t>CO</w:t>
      </w:r>
      <w:r w:rsidR="00242F05" w:rsidRPr="00361D87">
        <w:rPr>
          <w:vertAlign w:val="subscript"/>
        </w:rPr>
        <w:t>2</w:t>
      </w:r>
      <w:r w:rsidR="00875FC8" w:rsidRPr="008E1FCF">
        <w:t xml:space="preserve"> pa (tonnes</w:t>
      </w:r>
      <w:r w:rsidR="00045FF5" w:rsidRPr="008E1FCF">
        <w:t xml:space="preserve"> of </w:t>
      </w:r>
      <w:r w:rsidR="00242F05" w:rsidRPr="00521943">
        <w:t>CO</w:t>
      </w:r>
      <w:r w:rsidR="00242F05" w:rsidRPr="00361D87">
        <w:rPr>
          <w:vertAlign w:val="subscript"/>
        </w:rPr>
        <w:t>2</w:t>
      </w:r>
      <w:r w:rsidR="00045FF5" w:rsidRPr="008E1FCF">
        <w:t>per annum) to 18,517 t</w:t>
      </w:r>
      <w:r w:rsidR="00242F05" w:rsidRPr="00242F05">
        <w:t xml:space="preserve"> </w:t>
      </w:r>
      <w:r w:rsidR="00242F05" w:rsidRPr="00521943">
        <w:t>CO</w:t>
      </w:r>
      <w:r w:rsidR="00242F05" w:rsidRPr="00361D87">
        <w:rPr>
          <w:vertAlign w:val="subscript"/>
        </w:rPr>
        <w:t>2</w:t>
      </w:r>
      <w:r w:rsidR="00875FC8" w:rsidRPr="008E1FCF">
        <w:t xml:space="preserve"> pa, a </w:t>
      </w:r>
      <w:r w:rsidR="00045FF5" w:rsidRPr="008E1FCF">
        <w:t xml:space="preserve">fall </w:t>
      </w:r>
      <w:r w:rsidR="00875FC8" w:rsidRPr="008E1FCF">
        <w:t xml:space="preserve">of around 30%. </w:t>
      </w:r>
    </w:p>
    <w:p w:rsidR="00875FC8" w:rsidRPr="008E1FCF" w:rsidRDefault="00875FC8" w:rsidP="00875FC8"/>
    <w:p w:rsidR="00875FC8" w:rsidRPr="008E1FCF" w:rsidRDefault="003C66BA" w:rsidP="00875FC8">
      <w:r w:rsidRPr="008E1FCF">
        <w:t>3.26</w:t>
      </w:r>
      <w:r w:rsidR="005B6EFD" w:rsidRPr="008E1FCF">
        <w:tab/>
      </w:r>
      <w:r w:rsidR="00875FC8" w:rsidRPr="008E1FCF">
        <w:t>Recent savings measures have included:</w:t>
      </w:r>
    </w:p>
    <w:p w:rsidR="00875FC8" w:rsidRPr="008E1FCF" w:rsidRDefault="00875FC8" w:rsidP="00875FC8"/>
    <w:p w:rsidR="00875FC8" w:rsidRPr="008E1FCF" w:rsidRDefault="00875FC8" w:rsidP="005B6EFD">
      <w:pPr>
        <w:pStyle w:val="ListParagraph"/>
        <w:numPr>
          <w:ilvl w:val="0"/>
          <w:numId w:val="13"/>
        </w:numPr>
      </w:pPr>
      <w:r w:rsidRPr="008E1FCF">
        <w:t xml:space="preserve">A programme of large-scale solar installations in schools, including works in 2019 at Kenmore Park Primary School, Glebe Primary School, Shaftesbury High School and Park High School. The </w:t>
      </w:r>
      <w:r w:rsidR="00045FF5" w:rsidRPr="008E1FCF">
        <w:t xml:space="preserve">two </w:t>
      </w:r>
      <w:r w:rsidRPr="008E1FCF">
        <w:t xml:space="preserve">high school systems each generate around 44,000 Kwh, enough </w:t>
      </w:r>
      <w:r w:rsidRPr="008E1FCF">
        <w:lastRenderedPageBreak/>
        <w:t xml:space="preserve">electricity to power the needs of around 12 average houses, and </w:t>
      </w:r>
      <w:r w:rsidR="001E72D6">
        <w:t xml:space="preserve">each </w:t>
      </w:r>
      <w:r w:rsidRPr="008E1FCF">
        <w:t xml:space="preserve">save an estimated 24,000kg of </w:t>
      </w:r>
      <w:r w:rsidR="00242F05" w:rsidRPr="00242F05">
        <w:t xml:space="preserve"> </w:t>
      </w:r>
      <w:r w:rsidR="00242F05" w:rsidRPr="00521943">
        <w:t>CO</w:t>
      </w:r>
      <w:r w:rsidR="00242F05" w:rsidRPr="00361D87">
        <w:rPr>
          <w:vertAlign w:val="subscript"/>
        </w:rPr>
        <w:t>2</w:t>
      </w:r>
      <w:r w:rsidRPr="008E1FCF">
        <w:t xml:space="preserve"> per year.</w:t>
      </w:r>
    </w:p>
    <w:p w:rsidR="00875FC8" w:rsidRPr="008E1FCF" w:rsidRDefault="00875FC8" w:rsidP="00875FC8"/>
    <w:p w:rsidR="00875FC8" w:rsidRPr="008E1FCF" w:rsidRDefault="005B6EFD" w:rsidP="005B6EFD">
      <w:pPr>
        <w:pStyle w:val="ListParagraph"/>
        <w:numPr>
          <w:ilvl w:val="0"/>
          <w:numId w:val="13"/>
        </w:numPr>
      </w:pPr>
      <w:r w:rsidRPr="008E1FCF">
        <w:t xml:space="preserve">Improvements to </w:t>
      </w:r>
      <w:r w:rsidR="00875FC8" w:rsidRPr="008E1FCF">
        <w:t>the efficiency and performance of the borough’s street lighting</w:t>
      </w:r>
      <w:r w:rsidR="00EB54CC">
        <w:t>. The Council has</w:t>
      </w:r>
      <w:r w:rsidR="00875FC8" w:rsidRPr="008E1FCF">
        <w:t xml:space="preserve"> invested up to £3m per annum over the last 4 years to support the upgrading of both lamps and lamp columns. Approximately 9200 street lights have so far been converted to energy efficient LEDs with an annual saving of up to 20% in electricity consumption. </w:t>
      </w:r>
    </w:p>
    <w:p w:rsidR="00875FC8" w:rsidRPr="008E1FCF" w:rsidRDefault="00875FC8" w:rsidP="00875FC8"/>
    <w:p w:rsidR="00875FC8" w:rsidRPr="008E1FCF" w:rsidRDefault="008644EC" w:rsidP="008644EC">
      <w:pPr>
        <w:pStyle w:val="ListParagraph"/>
        <w:numPr>
          <w:ilvl w:val="0"/>
          <w:numId w:val="13"/>
        </w:numPr>
      </w:pPr>
      <w:r w:rsidRPr="008E1FCF">
        <w:t xml:space="preserve">Renewal of the Council’s vehicle fleet during </w:t>
      </w:r>
      <w:r w:rsidR="00875FC8" w:rsidRPr="008E1FCF">
        <w:t xml:space="preserve">2019 at a cost of £14 million to include Ultra Low Emission Zone (ULEZ) compliant low emission vehicles meeting the latest EURO 6 efficiency standards. 16 vans and one car are also fully electric. At the time of renewal, the heavier refuse vehicles and minibuses were not available as fully </w:t>
      </w:r>
      <w:r w:rsidR="00D941E4">
        <w:t xml:space="preserve">proven </w:t>
      </w:r>
      <w:r w:rsidR="00875FC8" w:rsidRPr="008E1FCF">
        <w:t xml:space="preserve">electric versions, but it is anticipated that this position will have changed </w:t>
      </w:r>
      <w:r w:rsidR="0035161E">
        <w:t xml:space="preserve">by </w:t>
      </w:r>
      <w:r w:rsidR="00875FC8" w:rsidRPr="008E1FCF">
        <w:t xml:space="preserve">the end of the existing contract period, enabling significant further decarbonisation of the fleet.  </w:t>
      </w:r>
    </w:p>
    <w:p w:rsidR="00875FC8" w:rsidRPr="008E1FCF" w:rsidRDefault="00875FC8" w:rsidP="00875FC8"/>
    <w:p w:rsidR="00875FC8" w:rsidRPr="008E1FCF" w:rsidRDefault="003C66BA" w:rsidP="008644EC">
      <w:pPr>
        <w:ind w:left="720" w:hanging="720"/>
      </w:pPr>
      <w:r w:rsidRPr="008E1FCF">
        <w:t>3.27</w:t>
      </w:r>
      <w:r w:rsidR="008644EC" w:rsidRPr="008E1FCF">
        <w:tab/>
      </w:r>
      <w:r w:rsidR="00875FC8" w:rsidRPr="008E1FCF">
        <w:t>Since</w:t>
      </w:r>
      <w:r w:rsidR="004A5707" w:rsidRPr="008E1FCF">
        <w:t xml:space="preserve"> the previous referral to cabinet</w:t>
      </w:r>
      <w:r w:rsidR="00875FC8" w:rsidRPr="008E1FCF">
        <w:t>, the Council has</w:t>
      </w:r>
      <w:r w:rsidR="0038465C" w:rsidRPr="008E1FCF">
        <w:t xml:space="preserve"> f</w:t>
      </w:r>
      <w:r w:rsidR="00875FC8" w:rsidRPr="008E1FCF">
        <w:t xml:space="preserve">ormed </w:t>
      </w:r>
      <w:r w:rsidR="004A5707" w:rsidRPr="008E1FCF">
        <w:t xml:space="preserve">officer and member </w:t>
      </w:r>
      <w:r w:rsidR="00875FC8" w:rsidRPr="008E1FCF">
        <w:t xml:space="preserve">working groups </w:t>
      </w:r>
      <w:r w:rsidR="0035161E">
        <w:t xml:space="preserve">who </w:t>
      </w:r>
      <w:r w:rsidR="004F5D03">
        <w:t xml:space="preserve">have </w:t>
      </w:r>
      <w:r w:rsidR="0035161E">
        <w:t xml:space="preserve">met </w:t>
      </w:r>
      <w:r w:rsidR="004A5707" w:rsidRPr="008E1FCF">
        <w:t xml:space="preserve">through the autumn </w:t>
      </w:r>
      <w:r w:rsidR="0035161E">
        <w:t xml:space="preserve">and winter </w:t>
      </w:r>
      <w:r w:rsidR="004A5707" w:rsidRPr="008E1FCF">
        <w:t>period</w:t>
      </w:r>
      <w:r w:rsidR="00875FC8" w:rsidRPr="008E1FCF">
        <w:t xml:space="preserve">, in order to </w:t>
      </w:r>
      <w:r w:rsidR="00716D77" w:rsidRPr="008E1FCF">
        <w:t xml:space="preserve">help shape </w:t>
      </w:r>
      <w:r w:rsidR="00875FC8" w:rsidRPr="008E1FCF">
        <w:t>an interim strategic framework and identify initial actions to address the challenge ahead</w:t>
      </w:r>
      <w:r w:rsidR="0038465C" w:rsidRPr="008E1FCF">
        <w:t>.</w:t>
      </w:r>
      <w:r w:rsidR="00716D77" w:rsidRPr="008E1FCF">
        <w:t xml:space="preserve"> That framework and action plan is annexed </w:t>
      </w:r>
      <w:r w:rsidR="001547E9" w:rsidRPr="008E1FCF">
        <w:t xml:space="preserve">to this report </w:t>
      </w:r>
      <w:r w:rsidR="00716D77" w:rsidRPr="008E1FCF">
        <w:t xml:space="preserve">and </w:t>
      </w:r>
      <w:r w:rsidR="0038465C" w:rsidRPr="008E1FCF">
        <w:t>explained further be</w:t>
      </w:r>
      <w:r w:rsidR="00716D77" w:rsidRPr="008E1FCF">
        <w:t>l</w:t>
      </w:r>
      <w:r w:rsidR="0038465C" w:rsidRPr="008E1FCF">
        <w:t xml:space="preserve">ow. </w:t>
      </w:r>
      <w:r w:rsidR="005D7190" w:rsidRPr="008E1FCF">
        <w:t xml:space="preserve">In February, </w:t>
      </w:r>
      <w:r w:rsidR="00875FC8" w:rsidRPr="008E1FCF">
        <w:t xml:space="preserve">a programme of staff engagement sessions </w:t>
      </w:r>
      <w:r w:rsidR="004F5D03">
        <w:t xml:space="preserve">was undertaken </w:t>
      </w:r>
      <w:r w:rsidR="00875FC8" w:rsidRPr="008E1FCF">
        <w:t>to raise awareness of the climate emergency and its implications within the organisation</w:t>
      </w:r>
      <w:r w:rsidR="004F5D03">
        <w:t>, along with a presentation</w:t>
      </w:r>
      <w:r w:rsidR="00DB6561">
        <w:t>s</w:t>
      </w:r>
      <w:r w:rsidR="004F5D03">
        <w:t xml:space="preserve"> and discussion at </w:t>
      </w:r>
      <w:r w:rsidR="00875FC8" w:rsidRPr="008E1FCF">
        <w:t xml:space="preserve">the Harrow Business </w:t>
      </w:r>
      <w:r w:rsidR="00DB6561">
        <w:t xml:space="preserve">and Voluntary Sector </w:t>
      </w:r>
      <w:r w:rsidR="00875FC8" w:rsidRPr="008E1FCF">
        <w:t>Forum</w:t>
      </w:r>
      <w:r w:rsidR="00DB6561">
        <w:t>s</w:t>
      </w:r>
      <w:r w:rsidR="005D7190" w:rsidRPr="008E1FCF">
        <w:t xml:space="preserve">. </w:t>
      </w:r>
      <w:r w:rsidR="0038465C" w:rsidRPr="008E1FCF">
        <w:t xml:space="preserve">We have also convened a working group with other London boroughs </w:t>
      </w:r>
      <w:r w:rsidR="0035161E">
        <w:t xml:space="preserve">who are members of </w:t>
      </w:r>
      <w:r w:rsidR="0038465C" w:rsidRPr="008E1FCF">
        <w:t>the West London Waste Authority</w:t>
      </w:r>
      <w:r w:rsidR="00716D77" w:rsidRPr="008E1FCF">
        <w:t xml:space="preserve"> to </w:t>
      </w:r>
      <w:r w:rsidR="004F5D03">
        <w:t xml:space="preserve">begin to </w:t>
      </w:r>
      <w:r w:rsidR="00716D77" w:rsidRPr="008E1FCF">
        <w:t>co-ordinate activity with</w:t>
      </w:r>
      <w:r w:rsidR="0035161E">
        <w:t xml:space="preserve"> neighbouring authorities</w:t>
      </w:r>
      <w:r w:rsidR="0038465C" w:rsidRPr="008E1FCF">
        <w:t xml:space="preserve">, and </w:t>
      </w:r>
      <w:r w:rsidR="00716D77" w:rsidRPr="008E1FCF">
        <w:t xml:space="preserve">have had a series of </w:t>
      </w:r>
      <w:r w:rsidR="0038465C" w:rsidRPr="008E1FCF">
        <w:t>me</w:t>
      </w:r>
      <w:r w:rsidR="00716D77" w:rsidRPr="008E1FCF">
        <w:t xml:space="preserve">etings </w:t>
      </w:r>
      <w:r w:rsidR="0038465C" w:rsidRPr="008E1FCF">
        <w:t xml:space="preserve">with the GLA to explore </w:t>
      </w:r>
      <w:r w:rsidR="005D7190" w:rsidRPr="008E1FCF">
        <w:t>opportunities for future collaboration on carbon reduction initiatives.</w:t>
      </w:r>
      <w:r w:rsidR="004A5707" w:rsidRPr="008E1FCF">
        <w:t xml:space="preserve"> </w:t>
      </w:r>
      <w:r w:rsidR="00716D77" w:rsidRPr="008E1FCF">
        <w:t>For</w:t>
      </w:r>
      <w:r w:rsidR="00DB6561">
        <w:t xml:space="preserve"> the spring</w:t>
      </w:r>
      <w:r w:rsidR="00716D77" w:rsidRPr="008E1FCF">
        <w:t>, a m</w:t>
      </w:r>
      <w:r w:rsidR="004A5707" w:rsidRPr="008E1FCF">
        <w:t>eeting</w:t>
      </w:r>
      <w:r w:rsidR="00716D77" w:rsidRPr="008E1FCF">
        <w:t xml:space="preserve"> of</w:t>
      </w:r>
      <w:r w:rsidR="004A5707" w:rsidRPr="008E1FCF">
        <w:t xml:space="preserve"> key borough partners</w:t>
      </w:r>
      <w:r w:rsidR="00716D77" w:rsidRPr="008E1FCF">
        <w:t xml:space="preserve"> is </w:t>
      </w:r>
      <w:r w:rsidR="004A5707" w:rsidRPr="008E1FCF">
        <w:t xml:space="preserve">proposed </w:t>
      </w:r>
      <w:r w:rsidR="004F5D03">
        <w:t xml:space="preserve">with a view to taking </w:t>
      </w:r>
      <w:r w:rsidR="00716D77" w:rsidRPr="008E1FCF">
        <w:t xml:space="preserve">forward a new </w:t>
      </w:r>
      <w:r w:rsidR="004A5707" w:rsidRPr="008E1FCF">
        <w:t>Harrow Climate &amp; Sustainability Partnership</w:t>
      </w:r>
      <w:r w:rsidR="00716D77" w:rsidRPr="008E1FCF">
        <w:t xml:space="preserve">, </w:t>
      </w:r>
      <w:r w:rsidR="004A5707" w:rsidRPr="008E1FCF">
        <w:t>and a w</w:t>
      </w:r>
      <w:r w:rsidR="00716D77" w:rsidRPr="008E1FCF">
        <w:t xml:space="preserve">ider community event is also being </w:t>
      </w:r>
      <w:r w:rsidR="004A5707" w:rsidRPr="008E1FCF">
        <w:t>planned</w:t>
      </w:r>
      <w:r w:rsidR="00716D77" w:rsidRPr="008E1FCF">
        <w:t>.</w:t>
      </w:r>
      <w:r w:rsidR="004A5707" w:rsidRPr="008E1FCF">
        <w:t xml:space="preserve"> </w:t>
      </w:r>
    </w:p>
    <w:p w:rsidR="00875FC8" w:rsidRPr="008E1FCF" w:rsidRDefault="00875FC8" w:rsidP="00875FC8"/>
    <w:p w:rsidR="00875FC8" w:rsidRPr="008E1FCF" w:rsidRDefault="00875FC8" w:rsidP="00875FC8"/>
    <w:p w:rsidR="00875FC8" w:rsidRPr="008E1FCF" w:rsidRDefault="003C66BA" w:rsidP="008644EC">
      <w:pPr>
        <w:ind w:left="720" w:hanging="720"/>
      </w:pPr>
      <w:r w:rsidRPr="008E1FCF">
        <w:t>3.28</w:t>
      </w:r>
      <w:r w:rsidR="008644EC" w:rsidRPr="008E1FCF">
        <w:tab/>
      </w:r>
      <w:r w:rsidR="00875FC8" w:rsidRPr="008E1FCF">
        <w:t xml:space="preserve">The Council has an existing Climate Change </w:t>
      </w:r>
      <w:r w:rsidR="0025063C" w:rsidRPr="008E1FCF">
        <w:t>Strategy, which was adopted in January</w:t>
      </w:r>
      <w:r w:rsidR="00875FC8" w:rsidRPr="008E1FCF">
        <w:t xml:space="preserve"> 2019 for the period through to 2024. This is </w:t>
      </w:r>
      <w:r w:rsidR="00045FF5" w:rsidRPr="008E1FCF">
        <w:t xml:space="preserve">however </w:t>
      </w:r>
      <w:r w:rsidR="00875FC8" w:rsidRPr="008E1FCF">
        <w:t xml:space="preserve">predicated on a 2050 target for carbon reductions and will be revised and integrated into the emerging new strategic framework to address the Climate and Ecological Emergency </w:t>
      </w:r>
      <w:r w:rsidR="008644EC" w:rsidRPr="008E1FCF">
        <w:t xml:space="preserve">(set out below) </w:t>
      </w:r>
      <w:r w:rsidR="00875FC8" w:rsidRPr="008E1FCF">
        <w:t>and the significantly more challenging 2030 target for carbon neutrality. The development of a new 2030 Climate Strategy, clos</w:t>
      </w:r>
      <w:r w:rsidR="0025063C" w:rsidRPr="008E1FCF">
        <w:t>ely aligned to the proposed ten-</w:t>
      </w:r>
      <w:r w:rsidR="00875FC8" w:rsidRPr="008E1FCF">
        <w:t xml:space="preserve">year Borough Plan, is a priority action for the coming year. </w:t>
      </w:r>
    </w:p>
    <w:p w:rsidR="00875FC8" w:rsidRPr="0075618C" w:rsidRDefault="00875FC8" w:rsidP="00333FAA"/>
    <w:p w:rsidR="00C860F8" w:rsidRPr="0075618C" w:rsidRDefault="00886D4E" w:rsidP="00333FAA">
      <w:pPr>
        <w:rPr>
          <w:b/>
        </w:rPr>
      </w:pPr>
      <w:r w:rsidRPr="0075618C">
        <w:rPr>
          <w:b/>
        </w:rPr>
        <w:t>Harrow’s Proposed Strategic Framework</w:t>
      </w:r>
    </w:p>
    <w:p w:rsidR="00886D4E" w:rsidRPr="0075618C" w:rsidRDefault="00886D4E" w:rsidP="00333FAA"/>
    <w:p w:rsidR="00886D4E" w:rsidRDefault="0075618C" w:rsidP="0075618C">
      <w:pPr>
        <w:ind w:left="720" w:hanging="720"/>
        <w:rPr>
          <w:color w:val="0000FF"/>
        </w:rPr>
      </w:pPr>
      <w:r w:rsidRPr="0075618C">
        <w:t>3.29</w:t>
      </w:r>
      <w:r w:rsidRPr="0075618C">
        <w:tab/>
      </w:r>
      <w:r w:rsidR="00C61E92" w:rsidRPr="0075618C">
        <w:t xml:space="preserve">Following discussions at </w:t>
      </w:r>
      <w:r w:rsidR="00886D4E" w:rsidRPr="0075618C">
        <w:t>the officer and member working groups, and having</w:t>
      </w:r>
      <w:r w:rsidR="00C61E92" w:rsidRPr="0075618C">
        <w:t xml:space="preserve"> reviewed a r</w:t>
      </w:r>
      <w:r w:rsidR="00786A63" w:rsidRPr="0075618C">
        <w:t xml:space="preserve">ange of </w:t>
      </w:r>
      <w:r w:rsidR="00C61E92" w:rsidRPr="0075618C">
        <w:t xml:space="preserve">different </w:t>
      </w:r>
      <w:r w:rsidR="00786A63" w:rsidRPr="0075618C">
        <w:t>approaches taken by other authorities</w:t>
      </w:r>
      <w:r w:rsidR="00886D4E" w:rsidRPr="0075618C">
        <w:t xml:space="preserve">, a strategic framework for responding to the climate </w:t>
      </w:r>
      <w:r w:rsidR="00886D4E" w:rsidRPr="0075618C">
        <w:lastRenderedPageBreak/>
        <w:t xml:space="preserve">emergency </w:t>
      </w:r>
      <w:r w:rsidR="00786A63" w:rsidRPr="0075618C">
        <w:t xml:space="preserve">in Harrow </w:t>
      </w:r>
      <w:r w:rsidR="00886D4E" w:rsidRPr="0075618C">
        <w:t xml:space="preserve">is proposed organised around seven key </w:t>
      </w:r>
      <w:r w:rsidR="00D941E4">
        <w:t xml:space="preserve">thematic </w:t>
      </w:r>
      <w:r w:rsidR="00886D4E" w:rsidRPr="0075618C">
        <w:t xml:space="preserve">areas. </w:t>
      </w:r>
      <w:r w:rsidR="00C61E92" w:rsidRPr="0075618C">
        <w:t>Taken together t</w:t>
      </w:r>
      <w:r w:rsidR="00886D4E" w:rsidRPr="0075618C">
        <w:t xml:space="preserve">hese </w:t>
      </w:r>
      <w:r w:rsidR="00C61E92" w:rsidRPr="0075618C">
        <w:t>aim to provide a holistic approach that seeks t</w:t>
      </w:r>
      <w:r w:rsidRPr="0075618C">
        <w:t xml:space="preserve">o address the major causes of </w:t>
      </w:r>
      <w:r w:rsidR="00242F05" w:rsidRPr="00521943">
        <w:t>CO</w:t>
      </w:r>
      <w:r w:rsidR="00242F05" w:rsidRPr="00361D87">
        <w:rPr>
          <w:vertAlign w:val="subscript"/>
        </w:rPr>
        <w:t>2</w:t>
      </w:r>
      <w:r w:rsidR="00242F05">
        <w:rPr>
          <w:vertAlign w:val="subscript"/>
        </w:rPr>
        <w:t xml:space="preserve"> </w:t>
      </w:r>
      <w:r w:rsidR="00C61E92" w:rsidRPr="0075618C">
        <w:t xml:space="preserve">emissions whilst also taking action to move towards </w:t>
      </w:r>
      <w:r w:rsidR="00553300" w:rsidRPr="0075618C">
        <w:t xml:space="preserve">a </w:t>
      </w:r>
      <w:r w:rsidR="00C61E92" w:rsidRPr="0075618C">
        <w:t>more sustainable borough and improve wellbeing and equality outcomes:</w:t>
      </w:r>
    </w:p>
    <w:p w:rsidR="00886D4E" w:rsidRDefault="00886D4E" w:rsidP="00333FAA">
      <w:pPr>
        <w:rPr>
          <w:color w:val="0000FF"/>
        </w:rPr>
      </w:pPr>
    </w:p>
    <w:p w:rsidR="0075618C" w:rsidRPr="0075618C" w:rsidRDefault="0075618C" w:rsidP="0075618C">
      <w:pPr>
        <w:ind w:firstLine="720"/>
        <w:rPr>
          <w:b/>
          <w:i/>
        </w:rPr>
      </w:pPr>
      <w:r w:rsidRPr="0075618C">
        <w:rPr>
          <w:b/>
          <w:i/>
        </w:rPr>
        <w:t xml:space="preserve">Clean Energy Used Efficiently </w:t>
      </w:r>
    </w:p>
    <w:p w:rsidR="0075618C" w:rsidRDefault="0075618C" w:rsidP="0075618C"/>
    <w:p w:rsidR="00882237" w:rsidRPr="0075618C" w:rsidRDefault="000E129D" w:rsidP="0075618C">
      <w:pPr>
        <w:ind w:left="720"/>
      </w:pPr>
      <w:r w:rsidRPr="0075618C">
        <w:t xml:space="preserve">This theme </w:t>
      </w:r>
      <w:r w:rsidR="0075618C">
        <w:t xml:space="preserve">covers </w:t>
      </w:r>
      <w:r w:rsidRPr="0075618C">
        <w:t>actions to begin t</w:t>
      </w:r>
      <w:r w:rsidR="00882237" w:rsidRPr="0075618C">
        <w:t xml:space="preserve">ransitioning to 100% low carbon and renewable energy solutions, whilst maximising energy efficiency and conservation measures. This includes helping to ensure the borough’s long term access to secure and affordable energy supplies through </w:t>
      </w:r>
      <w:r w:rsidR="0075618C">
        <w:t>an</w:t>
      </w:r>
      <w:r w:rsidR="0075618C" w:rsidRPr="0075618C">
        <w:t xml:space="preserve"> increase in </w:t>
      </w:r>
      <w:r w:rsidR="00882237" w:rsidRPr="0075618C">
        <w:t>local energy generation.</w:t>
      </w:r>
    </w:p>
    <w:p w:rsidR="00882237" w:rsidRPr="0075618C" w:rsidRDefault="00882237" w:rsidP="00882237"/>
    <w:p w:rsidR="0075618C" w:rsidRPr="0075618C" w:rsidRDefault="0075618C" w:rsidP="0075618C">
      <w:pPr>
        <w:ind w:firstLine="720"/>
      </w:pPr>
      <w:r w:rsidRPr="0075618C">
        <w:rPr>
          <w:b/>
          <w:i/>
        </w:rPr>
        <w:t>Zero Emission Transport</w:t>
      </w:r>
      <w:r w:rsidRPr="0075618C">
        <w:t xml:space="preserve"> </w:t>
      </w:r>
    </w:p>
    <w:p w:rsidR="0075618C" w:rsidRPr="0075618C" w:rsidRDefault="0075618C" w:rsidP="0075618C">
      <w:pPr>
        <w:ind w:firstLine="720"/>
      </w:pPr>
    </w:p>
    <w:p w:rsidR="00882237" w:rsidRPr="0075618C" w:rsidRDefault="00F33990" w:rsidP="0075618C">
      <w:pPr>
        <w:ind w:left="720"/>
      </w:pPr>
      <w:r>
        <w:t>This theme aims to move towards d</w:t>
      </w:r>
      <w:r w:rsidR="00882237" w:rsidRPr="0075618C">
        <w:t>ecarbonis</w:t>
      </w:r>
      <w:r>
        <w:t>ation of</w:t>
      </w:r>
      <w:r w:rsidR="00882237" w:rsidRPr="0075618C">
        <w:t xml:space="preserve"> public and private transport, maximising the use of active and public transport options, and significantly improving air quality across the borough.</w:t>
      </w:r>
    </w:p>
    <w:p w:rsidR="00882237" w:rsidRPr="00882237" w:rsidRDefault="00882237" w:rsidP="00882237">
      <w:pPr>
        <w:rPr>
          <w:color w:val="0000FF"/>
        </w:rPr>
      </w:pPr>
    </w:p>
    <w:p w:rsidR="0075618C" w:rsidRPr="00B243DF" w:rsidRDefault="0075618C" w:rsidP="0075618C">
      <w:pPr>
        <w:ind w:left="720"/>
        <w:rPr>
          <w:b/>
          <w:i/>
        </w:rPr>
      </w:pPr>
      <w:r w:rsidRPr="00B243DF">
        <w:rPr>
          <w:b/>
          <w:i/>
        </w:rPr>
        <w:t>A Waste</w:t>
      </w:r>
      <w:r w:rsidR="00E46E71" w:rsidRPr="00B243DF">
        <w:rPr>
          <w:b/>
          <w:i/>
        </w:rPr>
        <w:t>-Fr</w:t>
      </w:r>
      <w:r w:rsidRPr="00B243DF">
        <w:rPr>
          <w:b/>
          <w:i/>
        </w:rPr>
        <w:t xml:space="preserve">ee Borough </w:t>
      </w:r>
    </w:p>
    <w:p w:rsidR="0075618C" w:rsidRPr="00B243DF" w:rsidRDefault="0075618C" w:rsidP="0075618C">
      <w:pPr>
        <w:ind w:left="720"/>
      </w:pPr>
    </w:p>
    <w:p w:rsidR="00882237" w:rsidRPr="00B243DF" w:rsidRDefault="0075618C" w:rsidP="0075618C">
      <w:pPr>
        <w:ind w:left="720"/>
      </w:pPr>
      <w:r w:rsidRPr="00B243DF">
        <w:t>Actions to ensure that</w:t>
      </w:r>
      <w:r w:rsidR="00882237" w:rsidRPr="00B243DF">
        <w:t xml:space="preserve"> all waste is minimised, recycled and re-used as part</w:t>
      </w:r>
      <w:r w:rsidRPr="00B243DF">
        <w:t xml:space="preserve"> of a circular economy, transitioning away from </w:t>
      </w:r>
      <w:r w:rsidR="00B91046" w:rsidRPr="00B243DF">
        <w:t xml:space="preserve">traditional </w:t>
      </w:r>
      <w:r w:rsidRPr="00B243DF">
        <w:t xml:space="preserve">linear ‘take-make-waste’ economic approaches. </w:t>
      </w:r>
    </w:p>
    <w:p w:rsidR="00BB7E93" w:rsidRPr="00B243DF" w:rsidRDefault="00BB7E93" w:rsidP="00882237"/>
    <w:p w:rsidR="0075618C" w:rsidRPr="00B243DF" w:rsidRDefault="0075618C" w:rsidP="0075618C">
      <w:pPr>
        <w:ind w:firstLine="720"/>
      </w:pPr>
      <w:r w:rsidRPr="00B243DF">
        <w:rPr>
          <w:b/>
          <w:i/>
        </w:rPr>
        <w:t>Healthy Places for Us and the Rest of Nature</w:t>
      </w:r>
      <w:r w:rsidR="00882237" w:rsidRPr="00B243DF">
        <w:tab/>
      </w:r>
    </w:p>
    <w:p w:rsidR="0075618C" w:rsidRPr="00B243DF" w:rsidRDefault="0075618C" w:rsidP="0075618C">
      <w:pPr>
        <w:ind w:firstLine="720"/>
      </w:pPr>
    </w:p>
    <w:p w:rsidR="00BB7E93" w:rsidRPr="00B243DF" w:rsidRDefault="00882237" w:rsidP="0075618C">
      <w:pPr>
        <w:ind w:left="720"/>
      </w:pPr>
      <w:r w:rsidRPr="00B243DF">
        <w:t xml:space="preserve">Ensuring land use in the borough balances the needs of people and the rest of nature. This theme includes both sustainable development - particularly </w:t>
      </w:r>
      <w:r w:rsidR="00E46E71" w:rsidRPr="00B243DF">
        <w:t xml:space="preserve">much needed </w:t>
      </w:r>
      <w:r w:rsidRPr="00B243DF">
        <w:t xml:space="preserve">new affordable housing designed to be carbon neutral in operation </w:t>
      </w:r>
      <w:r w:rsidR="00E46E71" w:rsidRPr="00B243DF">
        <w:t>- whilst</w:t>
      </w:r>
      <w:r w:rsidRPr="00B243DF">
        <w:t xml:space="preserve"> also restoring</w:t>
      </w:r>
      <w:r w:rsidR="00BB7E93" w:rsidRPr="00B243DF">
        <w:t xml:space="preserve"> biodiversity and </w:t>
      </w:r>
      <w:r w:rsidR="00E46E71" w:rsidRPr="00B243DF">
        <w:t xml:space="preserve">carefully </w:t>
      </w:r>
      <w:r w:rsidR="00BB7E93" w:rsidRPr="00B243DF">
        <w:t>managing other key natural resources such as water</w:t>
      </w:r>
      <w:r w:rsidRPr="00B243DF">
        <w:t>, i</w:t>
      </w:r>
      <w:r w:rsidR="00E46E71" w:rsidRPr="00B243DF">
        <w:t>ncreasing local food production</w:t>
      </w:r>
      <w:r w:rsidRPr="00B243DF">
        <w:t xml:space="preserve"> and optimising land use for sequestration.</w:t>
      </w:r>
    </w:p>
    <w:p w:rsidR="00E46E71" w:rsidRPr="00B243DF" w:rsidRDefault="00E46E71" w:rsidP="00E46E71"/>
    <w:p w:rsidR="00E46E71" w:rsidRPr="00B243DF" w:rsidRDefault="00882237" w:rsidP="00E46E71">
      <w:r w:rsidRPr="00B243DF">
        <w:t xml:space="preserve"> </w:t>
      </w:r>
      <w:r w:rsidR="00E46E71" w:rsidRPr="00B243DF">
        <w:tab/>
      </w:r>
      <w:r w:rsidR="00E46E71" w:rsidRPr="00B243DF">
        <w:rPr>
          <w:b/>
          <w:i/>
        </w:rPr>
        <w:t>Good Governance for Long Term Sustainability</w:t>
      </w:r>
      <w:r w:rsidRPr="00B243DF">
        <w:tab/>
      </w:r>
    </w:p>
    <w:p w:rsidR="00E46E71" w:rsidRPr="00B243DF" w:rsidRDefault="00E46E71" w:rsidP="00E46E71">
      <w:pPr>
        <w:ind w:firstLine="720"/>
      </w:pPr>
    </w:p>
    <w:p w:rsidR="00882237" w:rsidRPr="00B243DF" w:rsidRDefault="00E46E71" w:rsidP="00E46E71">
      <w:pPr>
        <w:ind w:left="720"/>
      </w:pPr>
      <w:r w:rsidRPr="00B243DF">
        <w:t>Taking steps to e</w:t>
      </w:r>
      <w:r w:rsidR="00882237" w:rsidRPr="00B243DF">
        <w:t xml:space="preserve">mbed long-term environmental and community sustainability at the heart of local decision making, including in the financial planning process.  </w:t>
      </w:r>
    </w:p>
    <w:p w:rsidR="00E46E71" w:rsidRPr="00B243DF" w:rsidRDefault="00E46E71" w:rsidP="00E46E71">
      <w:pPr>
        <w:ind w:left="720"/>
      </w:pPr>
    </w:p>
    <w:p w:rsidR="00882237" w:rsidRPr="00B243DF" w:rsidRDefault="00E46E71" w:rsidP="00E46E71">
      <w:pPr>
        <w:ind w:firstLine="720"/>
        <w:rPr>
          <w:b/>
          <w:i/>
        </w:rPr>
      </w:pPr>
      <w:proofErr w:type="spellStart"/>
      <w:r w:rsidRPr="00B243DF">
        <w:rPr>
          <w:b/>
          <w:i/>
        </w:rPr>
        <w:t>Ecoliterate</w:t>
      </w:r>
      <w:proofErr w:type="spellEnd"/>
      <w:r w:rsidRPr="00B243DF">
        <w:rPr>
          <w:b/>
          <w:i/>
        </w:rPr>
        <w:t xml:space="preserve"> and Engaged Communities </w:t>
      </w:r>
    </w:p>
    <w:p w:rsidR="00E46E71" w:rsidRPr="00B243DF" w:rsidRDefault="00882237" w:rsidP="00882237">
      <w:r w:rsidRPr="00B243DF">
        <w:tab/>
      </w:r>
    </w:p>
    <w:p w:rsidR="00882237" w:rsidRPr="00B243DF" w:rsidRDefault="00DB6404" w:rsidP="00E46E71">
      <w:pPr>
        <w:ind w:left="720"/>
      </w:pPr>
      <w:proofErr w:type="spellStart"/>
      <w:r w:rsidRPr="00B243DF">
        <w:t>Ecoliteracy</w:t>
      </w:r>
      <w:proofErr w:type="spellEnd"/>
      <w:r w:rsidRPr="00B243DF">
        <w:t xml:space="preserve"> involves building </w:t>
      </w:r>
      <w:r w:rsidR="004F5D03">
        <w:t xml:space="preserve">an </w:t>
      </w:r>
      <w:r w:rsidRPr="00B243DF">
        <w:t>understanding of</w:t>
      </w:r>
      <w:r w:rsidR="00E46E71" w:rsidRPr="00B243DF">
        <w:t>,</w:t>
      </w:r>
      <w:r w:rsidRPr="00B243DF">
        <w:t xml:space="preserve"> and connection with</w:t>
      </w:r>
      <w:r w:rsidR="00E46E71" w:rsidRPr="00B243DF">
        <w:t>,</w:t>
      </w:r>
      <w:r w:rsidRPr="00B243DF">
        <w:t xml:space="preserve"> the natural systems of which we are part</w:t>
      </w:r>
      <w:r w:rsidR="00F33990">
        <w:t xml:space="preserve"> and upon which we </w:t>
      </w:r>
      <w:r w:rsidR="004F5D03">
        <w:t xml:space="preserve">all </w:t>
      </w:r>
      <w:r w:rsidR="00F33990">
        <w:t>depend</w:t>
      </w:r>
      <w:r w:rsidRPr="00B243DF">
        <w:t xml:space="preserve">. </w:t>
      </w:r>
      <w:r w:rsidR="00E46E71" w:rsidRPr="00B243DF">
        <w:t>This theme includes</w:t>
      </w:r>
      <w:r w:rsidR="00882237" w:rsidRPr="00B243DF">
        <w:t xml:space="preserve"> </w:t>
      </w:r>
      <w:r w:rsidR="00B91046" w:rsidRPr="00B243DF">
        <w:t xml:space="preserve">increasing levels of engagement across our borough </w:t>
      </w:r>
      <w:r w:rsidR="00E46E71" w:rsidRPr="00B243DF">
        <w:t xml:space="preserve">and providing </w:t>
      </w:r>
      <w:r w:rsidR="00882237" w:rsidRPr="00B243DF">
        <w:t>practical support and encouragement for our staff, members, partners and the public to take informed actions to address the climate and ecological challenges.</w:t>
      </w:r>
    </w:p>
    <w:p w:rsidR="00E46E71" w:rsidRPr="00B243DF" w:rsidRDefault="00E46E71" w:rsidP="00E46E71">
      <w:pPr>
        <w:ind w:left="720"/>
      </w:pPr>
    </w:p>
    <w:p w:rsidR="009B3CDC" w:rsidRDefault="009B3CDC" w:rsidP="00E46E71">
      <w:pPr>
        <w:ind w:left="720"/>
        <w:rPr>
          <w:b/>
          <w:i/>
        </w:rPr>
      </w:pPr>
    </w:p>
    <w:p w:rsidR="009B3CDC" w:rsidRDefault="009B3CDC" w:rsidP="00E46E71">
      <w:pPr>
        <w:ind w:left="720"/>
        <w:rPr>
          <w:b/>
          <w:i/>
        </w:rPr>
      </w:pPr>
    </w:p>
    <w:p w:rsidR="00E46E71" w:rsidRPr="00B243DF" w:rsidRDefault="00E46E71" w:rsidP="00E46E71">
      <w:pPr>
        <w:ind w:left="720"/>
        <w:rPr>
          <w:b/>
          <w:i/>
        </w:rPr>
      </w:pPr>
      <w:r w:rsidRPr="00B243DF">
        <w:rPr>
          <w:b/>
          <w:i/>
        </w:rPr>
        <w:lastRenderedPageBreak/>
        <w:t>A Socially Just Transition</w:t>
      </w:r>
      <w:r w:rsidR="00882237" w:rsidRPr="00B243DF">
        <w:rPr>
          <w:b/>
          <w:i/>
        </w:rPr>
        <w:tab/>
      </w:r>
    </w:p>
    <w:p w:rsidR="00E46E71" w:rsidRPr="00B243DF" w:rsidRDefault="00E46E71" w:rsidP="00E46E71">
      <w:pPr>
        <w:ind w:left="720"/>
      </w:pPr>
    </w:p>
    <w:p w:rsidR="00882237" w:rsidRPr="00F33990" w:rsidRDefault="00882237" w:rsidP="00E46E71">
      <w:pPr>
        <w:ind w:left="720"/>
      </w:pPr>
      <w:r w:rsidRPr="00B243DF">
        <w:t xml:space="preserve">Ensuring a just transition to a sustainable and equitable low carbon future for all, particularly to ensure the vulnerable in our communities </w:t>
      </w:r>
      <w:r w:rsidRPr="00F33990">
        <w:t>are supported and protected during this period of major social and economic transformation.</w:t>
      </w:r>
    </w:p>
    <w:p w:rsidR="00882237" w:rsidRPr="00F33990" w:rsidRDefault="00882237" w:rsidP="00882237"/>
    <w:p w:rsidR="00882237" w:rsidRPr="00F33990" w:rsidRDefault="00B91046" w:rsidP="00B91046">
      <w:pPr>
        <w:ind w:left="720" w:hanging="720"/>
      </w:pPr>
      <w:r w:rsidRPr="00F33990">
        <w:t>3.30</w:t>
      </w:r>
      <w:r w:rsidRPr="00F33990">
        <w:tab/>
      </w:r>
      <w:r w:rsidR="00882237" w:rsidRPr="00F33990">
        <w:t xml:space="preserve">A range of </w:t>
      </w:r>
      <w:r w:rsidRPr="00F33990">
        <w:t xml:space="preserve">initial </w:t>
      </w:r>
      <w:r w:rsidR="00882237" w:rsidRPr="00F33990">
        <w:t xml:space="preserve">actions </w:t>
      </w:r>
      <w:r w:rsidRPr="00F33990">
        <w:t xml:space="preserve">have been </w:t>
      </w:r>
      <w:r w:rsidR="00882237" w:rsidRPr="00F33990">
        <w:t>identified across these themes</w:t>
      </w:r>
      <w:r w:rsidR="00815B64" w:rsidRPr="00F33990">
        <w:t xml:space="preserve"> which appear in the accompanying </w:t>
      </w:r>
      <w:r w:rsidR="002D6871">
        <w:t xml:space="preserve">action </w:t>
      </w:r>
      <w:r w:rsidR="00815B64" w:rsidRPr="00F33990">
        <w:t>plan. Th</w:t>
      </w:r>
      <w:r w:rsidR="00F33990" w:rsidRPr="00F33990">
        <w:t>e plan</w:t>
      </w:r>
      <w:r w:rsidR="00815B64" w:rsidRPr="00F33990">
        <w:t xml:space="preserve"> focusses </w:t>
      </w:r>
      <w:r w:rsidRPr="00F33990">
        <w:t xml:space="preserve">firstly on </w:t>
      </w:r>
      <w:r w:rsidR="00815B64" w:rsidRPr="00F33990">
        <w:t xml:space="preserve">those actions which are directly </w:t>
      </w:r>
      <w:r w:rsidRPr="00F33990">
        <w:t xml:space="preserve">within the council’s </w:t>
      </w:r>
      <w:r w:rsidR="00815B64" w:rsidRPr="00F33990">
        <w:t xml:space="preserve">own </w:t>
      </w:r>
      <w:r w:rsidRPr="00F33990">
        <w:t xml:space="preserve">control </w:t>
      </w:r>
      <w:r w:rsidR="00F33990">
        <w:t xml:space="preserve">or </w:t>
      </w:r>
      <w:r w:rsidRPr="00F33990">
        <w:t xml:space="preserve">serve to reduce the organisation’s </w:t>
      </w:r>
      <w:r w:rsidR="00815B64" w:rsidRPr="00F33990">
        <w:t xml:space="preserve">own </w:t>
      </w:r>
      <w:r w:rsidRPr="00F33990">
        <w:t xml:space="preserve">carbon footprint, and secondly </w:t>
      </w:r>
      <w:r w:rsidR="002D6871">
        <w:t xml:space="preserve">on </w:t>
      </w:r>
      <w:r w:rsidRPr="00F33990">
        <w:t>more borough-wide actions where the council can play a leadership role but which require the co-operation of others</w:t>
      </w:r>
      <w:r w:rsidR="00815B64" w:rsidRPr="00F33990">
        <w:t xml:space="preserve"> in order to effect change</w:t>
      </w:r>
      <w:r w:rsidRPr="00F33990">
        <w:t xml:space="preserve">. There are </w:t>
      </w:r>
      <w:r w:rsidR="00815B64" w:rsidRPr="00F33990">
        <w:t xml:space="preserve">of course also </w:t>
      </w:r>
      <w:r w:rsidRPr="00F33990">
        <w:t xml:space="preserve">areas of cross over, such as waste management which is a significant </w:t>
      </w:r>
      <w:r w:rsidR="00FD5752">
        <w:t xml:space="preserve">operational area and </w:t>
      </w:r>
      <w:r w:rsidR="002D6871">
        <w:t xml:space="preserve">residual </w:t>
      </w:r>
      <w:r w:rsidR="00FD5752">
        <w:t xml:space="preserve">cost for </w:t>
      </w:r>
      <w:r w:rsidRPr="00F33990">
        <w:t>Harrow as an</w:t>
      </w:r>
      <w:r w:rsidR="00FD5752">
        <w:t xml:space="preserve"> organisation, b</w:t>
      </w:r>
      <w:r w:rsidRPr="00F33990">
        <w:t xml:space="preserve">ut where concerted action to </w:t>
      </w:r>
      <w:r w:rsidR="002D6871">
        <w:t xml:space="preserve">reduce demand and </w:t>
      </w:r>
      <w:r w:rsidRPr="00F33990">
        <w:t xml:space="preserve">minimise waste at source requires wide action and engagement from residents and business. </w:t>
      </w:r>
      <w:r w:rsidR="00882237" w:rsidRPr="00F33990">
        <w:t xml:space="preserve">Priorities for the coming year </w:t>
      </w:r>
      <w:r w:rsidR="002D6871">
        <w:t xml:space="preserve">include </w:t>
      </w:r>
      <w:r w:rsidR="00882237" w:rsidRPr="00F33990">
        <w:t>establishing</w:t>
      </w:r>
      <w:r w:rsidRPr="00F33990">
        <w:t xml:space="preserve"> good data and car</w:t>
      </w:r>
      <w:r w:rsidR="005B4A47" w:rsidRPr="00F33990">
        <w:t>bon reduction pathways</w:t>
      </w:r>
      <w:r w:rsidR="00882237" w:rsidRPr="00F33990">
        <w:t>, a programme of awareness raising activities for both staff and the public, and ensuring that the council’s own ongoing and proposed construction activities (a range of housing projects, a new depot and likely new civic centre) aim to contri</w:t>
      </w:r>
      <w:r w:rsidRPr="00F33990">
        <w:t>bute towards carbon neutrality.</w:t>
      </w:r>
    </w:p>
    <w:p w:rsidR="00882237" w:rsidRPr="00882237" w:rsidRDefault="00882237" w:rsidP="00882237">
      <w:pPr>
        <w:rPr>
          <w:color w:val="0000FF"/>
        </w:rPr>
      </w:pPr>
    </w:p>
    <w:p w:rsidR="00333FAA" w:rsidRPr="00FD5752" w:rsidRDefault="00333FAA" w:rsidP="00333FAA"/>
    <w:p w:rsidR="00333FAA" w:rsidRPr="00FD5752" w:rsidRDefault="00B243DF" w:rsidP="00333FAA">
      <w:pPr>
        <w:pStyle w:val="Heading2"/>
      </w:pPr>
      <w:r w:rsidRPr="00FD5752">
        <w:t>4.</w:t>
      </w:r>
      <w:r w:rsidRPr="00FD5752">
        <w:tab/>
      </w:r>
      <w:r w:rsidR="00333FAA" w:rsidRPr="00FD5752">
        <w:t>Implications of the Recommendation</w:t>
      </w:r>
      <w:r w:rsidRPr="00FD5752">
        <w:t>s</w:t>
      </w:r>
    </w:p>
    <w:p w:rsidR="00714BEE" w:rsidRPr="00FD5752" w:rsidRDefault="00714BEE" w:rsidP="001C7E35">
      <w:pPr>
        <w:tabs>
          <w:tab w:val="left" w:pos="7245"/>
        </w:tabs>
        <w:rPr>
          <w:i/>
        </w:rPr>
      </w:pPr>
    </w:p>
    <w:p w:rsidR="00333FAA" w:rsidRPr="00FD5752" w:rsidRDefault="00333FAA" w:rsidP="0054590F">
      <w:pPr>
        <w:pStyle w:val="Heading4"/>
        <w:rPr>
          <w:szCs w:val="24"/>
        </w:rPr>
      </w:pPr>
      <w:r w:rsidRPr="00FD5752">
        <w:rPr>
          <w:szCs w:val="24"/>
        </w:rPr>
        <w:t>Environmental Implications</w:t>
      </w:r>
    </w:p>
    <w:p w:rsidR="000929A6" w:rsidRPr="00FD5752" w:rsidRDefault="000929A6" w:rsidP="001C7E35">
      <w:pPr>
        <w:rPr>
          <w:i/>
        </w:rPr>
      </w:pPr>
    </w:p>
    <w:p w:rsidR="00B243DF" w:rsidRPr="00FD5752" w:rsidRDefault="00FD5752" w:rsidP="00FD5752">
      <w:pPr>
        <w:ind w:left="720" w:hanging="720"/>
      </w:pPr>
      <w:r w:rsidRPr="00FD5752">
        <w:t>4.1</w:t>
      </w:r>
      <w:r w:rsidRPr="00FD5752">
        <w:tab/>
      </w:r>
      <w:r w:rsidR="00B243DF" w:rsidRPr="00FD5752">
        <w:t>Environmental implications are integral to the subject matter of this report.</w:t>
      </w:r>
    </w:p>
    <w:p w:rsidR="00B1160D" w:rsidRPr="00FD5752" w:rsidRDefault="00B1160D" w:rsidP="001C7E35"/>
    <w:p w:rsidR="00A81E19" w:rsidRPr="00FD5752" w:rsidRDefault="00A81E19" w:rsidP="00A81E19">
      <w:pPr>
        <w:pStyle w:val="Heading2"/>
        <w:rPr>
          <w:sz w:val="24"/>
          <w:szCs w:val="24"/>
        </w:rPr>
      </w:pPr>
      <w:r w:rsidRPr="00FD5752">
        <w:rPr>
          <w:sz w:val="24"/>
          <w:szCs w:val="24"/>
        </w:rPr>
        <w:t>Risk Management Implications</w:t>
      </w:r>
    </w:p>
    <w:p w:rsidR="00A81E19" w:rsidRPr="00FD5752" w:rsidRDefault="00A81E19" w:rsidP="00A81E19">
      <w:pPr>
        <w:pStyle w:val="Heading4"/>
        <w:rPr>
          <w:b w:val="0"/>
        </w:rPr>
      </w:pPr>
    </w:p>
    <w:p w:rsidR="00A81E19" w:rsidRPr="00FD5752" w:rsidRDefault="00FD5752" w:rsidP="00A81E19">
      <w:pPr>
        <w:tabs>
          <w:tab w:val="left" w:pos="5610"/>
        </w:tabs>
        <w:ind w:right="81"/>
        <w:rPr>
          <w:rFonts w:cs="Arial"/>
          <w:szCs w:val="24"/>
          <w:lang w:val="en-US"/>
        </w:rPr>
      </w:pPr>
      <w:r w:rsidRPr="00FD5752">
        <w:rPr>
          <w:rFonts w:cs="Arial"/>
          <w:szCs w:val="24"/>
          <w:lang w:val="en-US"/>
        </w:rPr>
        <w:t xml:space="preserve">4.2      </w:t>
      </w:r>
      <w:r w:rsidR="00A81E19" w:rsidRPr="00FD5752">
        <w:rPr>
          <w:rFonts w:cs="Arial"/>
          <w:szCs w:val="24"/>
          <w:lang w:val="en-US"/>
        </w:rPr>
        <w:t xml:space="preserve">Risk included on Directorate risk register?  </w:t>
      </w:r>
      <w:r w:rsidRPr="00FD5752">
        <w:rPr>
          <w:rFonts w:cs="Arial"/>
          <w:szCs w:val="24"/>
          <w:lang w:val="en-US"/>
        </w:rPr>
        <w:tab/>
      </w:r>
      <w:r w:rsidRPr="00FD5752">
        <w:rPr>
          <w:rFonts w:cs="Arial"/>
          <w:szCs w:val="24"/>
          <w:lang w:val="en-US"/>
        </w:rPr>
        <w:tab/>
        <w:t>No</w:t>
      </w:r>
    </w:p>
    <w:p w:rsidR="002A3FEF" w:rsidRPr="00FD5752" w:rsidRDefault="00FD5752" w:rsidP="00A81E19">
      <w:pPr>
        <w:ind w:right="141"/>
        <w:rPr>
          <w:rFonts w:cs="Arial"/>
          <w:szCs w:val="24"/>
          <w:lang w:val="en-US" w:eastAsia="en-GB"/>
        </w:rPr>
      </w:pPr>
      <w:r w:rsidRPr="00FD5752">
        <w:rPr>
          <w:rFonts w:cs="Arial"/>
          <w:szCs w:val="24"/>
          <w:lang w:val="en-US" w:eastAsia="en-GB"/>
        </w:rPr>
        <w:t xml:space="preserve">           </w:t>
      </w:r>
      <w:r w:rsidR="00A81E19" w:rsidRPr="00FD5752">
        <w:rPr>
          <w:rFonts w:cs="Arial"/>
          <w:szCs w:val="24"/>
          <w:lang w:val="en-US" w:eastAsia="en-GB"/>
        </w:rPr>
        <w:t xml:space="preserve">Separate risk register in place?  </w:t>
      </w:r>
      <w:r w:rsidRPr="00FD5752">
        <w:rPr>
          <w:rFonts w:cs="Arial"/>
          <w:szCs w:val="24"/>
          <w:lang w:val="en-US" w:eastAsia="en-GB"/>
        </w:rPr>
        <w:tab/>
      </w:r>
      <w:r w:rsidRPr="00FD5752">
        <w:rPr>
          <w:rFonts w:cs="Arial"/>
          <w:szCs w:val="24"/>
          <w:lang w:val="en-US" w:eastAsia="en-GB"/>
        </w:rPr>
        <w:tab/>
      </w:r>
      <w:r w:rsidRPr="00FD5752">
        <w:rPr>
          <w:rFonts w:cs="Arial"/>
          <w:szCs w:val="24"/>
          <w:lang w:val="en-US" w:eastAsia="en-GB"/>
        </w:rPr>
        <w:tab/>
      </w:r>
      <w:r w:rsidR="00A81E19" w:rsidRPr="00FD5752">
        <w:rPr>
          <w:rFonts w:cs="Arial"/>
          <w:szCs w:val="24"/>
          <w:lang w:val="en-US" w:eastAsia="en-GB"/>
        </w:rPr>
        <w:t>No</w:t>
      </w:r>
      <w:r w:rsidR="008644EC" w:rsidRPr="00FD5752">
        <w:rPr>
          <w:rFonts w:cs="Arial"/>
          <w:szCs w:val="24"/>
          <w:lang w:val="en-US" w:eastAsia="en-GB"/>
        </w:rPr>
        <w:t xml:space="preserve"> </w:t>
      </w:r>
    </w:p>
    <w:p w:rsidR="00FD5752" w:rsidRPr="00FD5752" w:rsidRDefault="00FD5752" w:rsidP="00A81E19">
      <w:pPr>
        <w:ind w:right="141"/>
        <w:rPr>
          <w:rFonts w:cs="Arial"/>
          <w:szCs w:val="24"/>
          <w:lang w:val="en-US" w:eastAsia="en-GB"/>
        </w:rPr>
      </w:pPr>
    </w:p>
    <w:p w:rsidR="00FD5752" w:rsidRPr="00FD5752" w:rsidRDefault="00FD5752" w:rsidP="00FD5752">
      <w:pPr>
        <w:ind w:left="720" w:right="141" w:hanging="720"/>
        <w:rPr>
          <w:rFonts w:cs="Arial"/>
          <w:szCs w:val="24"/>
          <w:lang w:val="en-US" w:eastAsia="en-GB"/>
        </w:rPr>
      </w:pPr>
      <w:r w:rsidRPr="00FD5752">
        <w:rPr>
          <w:rFonts w:cs="Arial"/>
          <w:szCs w:val="24"/>
          <w:lang w:val="en-US" w:eastAsia="en-GB"/>
        </w:rPr>
        <w:t>4.3</w:t>
      </w:r>
      <w:r w:rsidRPr="00FD5752">
        <w:rPr>
          <w:rFonts w:cs="Arial"/>
          <w:szCs w:val="24"/>
          <w:lang w:val="en-US" w:eastAsia="en-GB"/>
        </w:rPr>
        <w:tab/>
        <w:t>A failure to act on climate change</w:t>
      </w:r>
      <w:r w:rsidR="006B1467">
        <w:rPr>
          <w:rFonts w:cs="Arial"/>
          <w:szCs w:val="24"/>
          <w:lang w:val="en-US" w:eastAsia="en-GB"/>
        </w:rPr>
        <w:t xml:space="preserve"> and reduce </w:t>
      </w:r>
      <w:r w:rsidR="00242F05" w:rsidRPr="00521943">
        <w:t>CO</w:t>
      </w:r>
      <w:r w:rsidR="00242F05" w:rsidRPr="00361D87">
        <w:rPr>
          <w:vertAlign w:val="subscript"/>
        </w:rPr>
        <w:t>2</w:t>
      </w:r>
      <w:r w:rsidR="00242F05">
        <w:rPr>
          <w:vertAlign w:val="subscript"/>
        </w:rPr>
        <w:t xml:space="preserve"> </w:t>
      </w:r>
      <w:r w:rsidR="006B1467">
        <w:rPr>
          <w:rFonts w:cs="Arial"/>
          <w:szCs w:val="24"/>
          <w:lang w:val="en-US" w:eastAsia="en-GB"/>
        </w:rPr>
        <w:t xml:space="preserve">emissions will </w:t>
      </w:r>
      <w:r w:rsidRPr="00FD5752">
        <w:rPr>
          <w:rFonts w:cs="Arial"/>
          <w:szCs w:val="24"/>
          <w:lang w:val="en-US" w:eastAsia="en-GB"/>
        </w:rPr>
        <w:t xml:space="preserve">lead to worsening environmental, social and economic outcomes in Harrow and more widely in the UK and beyond. A work stream to examine the specific risks and develop a Climate Adaptation Plan </w:t>
      </w:r>
      <w:r w:rsidR="0024652A">
        <w:rPr>
          <w:rFonts w:cs="Arial"/>
          <w:szCs w:val="24"/>
          <w:lang w:val="en-US" w:eastAsia="en-GB"/>
        </w:rPr>
        <w:t xml:space="preserve">for Harrow </w:t>
      </w:r>
      <w:r w:rsidRPr="00FD5752">
        <w:rPr>
          <w:rFonts w:cs="Arial"/>
          <w:szCs w:val="24"/>
          <w:lang w:val="en-US" w:eastAsia="en-GB"/>
        </w:rPr>
        <w:t>is proposed for the coming year and will form part of the proposed 2030 Climate Strategy.</w:t>
      </w:r>
    </w:p>
    <w:p w:rsidR="00A81E19" w:rsidRDefault="00FD5752" w:rsidP="00A81E19">
      <w:pPr>
        <w:ind w:right="141"/>
        <w:rPr>
          <w:rFonts w:cs="Arial"/>
          <w:szCs w:val="24"/>
          <w:lang w:val="en-US" w:eastAsia="en-GB"/>
        </w:rPr>
      </w:pPr>
      <w:r>
        <w:rPr>
          <w:rFonts w:cs="Arial"/>
          <w:szCs w:val="24"/>
          <w:lang w:val="en-US" w:eastAsia="en-GB"/>
        </w:rPr>
        <w:t xml:space="preserve"> </w:t>
      </w:r>
    </w:p>
    <w:p w:rsidR="00FD5752" w:rsidRDefault="002A3FEF" w:rsidP="002A3FEF">
      <w:pPr>
        <w:pStyle w:val="Heading2"/>
        <w:rPr>
          <w:sz w:val="24"/>
          <w:szCs w:val="24"/>
        </w:rPr>
      </w:pPr>
      <w:r w:rsidRPr="00FD5752">
        <w:rPr>
          <w:sz w:val="24"/>
          <w:szCs w:val="24"/>
        </w:rPr>
        <w:t>Procurement Implications</w:t>
      </w:r>
    </w:p>
    <w:p w:rsidR="00FD5752" w:rsidRDefault="00FD5752" w:rsidP="002A3FEF">
      <w:pPr>
        <w:pStyle w:val="Heading2"/>
        <w:rPr>
          <w:sz w:val="24"/>
          <w:szCs w:val="24"/>
        </w:rPr>
      </w:pPr>
    </w:p>
    <w:p w:rsidR="00C228D5" w:rsidRDefault="00FD5752" w:rsidP="00FD5752">
      <w:pPr>
        <w:pStyle w:val="Heading2"/>
        <w:ind w:left="720" w:hanging="720"/>
        <w:rPr>
          <w:b w:val="0"/>
          <w:sz w:val="24"/>
          <w:szCs w:val="24"/>
        </w:rPr>
      </w:pPr>
      <w:r w:rsidRPr="00FD5752">
        <w:rPr>
          <w:b w:val="0"/>
          <w:sz w:val="24"/>
          <w:szCs w:val="24"/>
        </w:rPr>
        <w:t>4.4</w:t>
      </w:r>
      <w:r w:rsidRPr="00FD5752">
        <w:rPr>
          <w:b w:val="0"/>
          <w:sz w:val="24"/>
          <w:szCs w:val="24"/>
        </w:rPr>
        <w:tab/>
      </w:r>
      <w:r w:rsidR="001746BA">
        <w:rPr>
          <w:b w:val="0"/>
          <w:sz w:val="24"/>
          <w:szCs w:val="24"/>
        </w:rPr>
        <w:t>Responsible</w:t>
      </w:r>
      <w:r w:rsidR="00C228D5">
        <w:rPr>
          <w:b w:val="0"/>
          <w:sz w:val="24"/>
          <w:szCs w:val="24"/>
        </w:rPr>
        <w:t xml:space="preserve"> and sustainable </w:t>
      </w:r>
      <w:r w:rsidR="001746BA">
        <w:rPr>
          <w:b w:val="0"/>
          <w:sz w:val="24"/>
          <w:szCs w:val="24"/>
        </w:rPr>
        <w:t>procurement is integral to the delivery of the recommendations of this report. The Council has a considerable procurement spend and a very large third party supply chain</w:t>
      </w:r>
      <w:r w:rsidR="00C228D5">
        <w:rPr>
          <w:b w:val="0"/>
          <w:sz w:val="24"/>
          <w:szCs w:val="24"/>
        </w:rPr>
        <w:t xml:space="preserve"> delivering works,</w:t>
      </w:r>
      <w:r w:rsidR="001746BA">
        <w:rPr>
          <w:b w:val="0"/>
          <w:sz w:val="24"/>
          <w:szCs w:val="24"/>
        </w:rPr>
        <w:t xml:space="preserve"> goods and services.  </w:t>
      </w:r>
    </w:p>
    <w:p w:rsidR="00C228D5" w:rsidRDefault="00C228D5" w:rsidP="00FD5752">
      <w:pPr>
        <w:pStyle w:val="Heading2"/>
        <w:ind w:left="720" w:hanging="720"/>
        <w:rPr>
          <w:b w:val="0"/>
          <w:sz w:val="24"/>
          <w:szCs w:val="24"/>
        </w:rPr>
      </w:pPr>
    </w:p>
    <w:p w:rsidR="00666922" w:rsidRPr="00421A4C" w:rsidRDefault="00FD5752" w:rsidP="005A7C7B">
      <w:pPr>
        <w:pStyle w:val="Heading2"/>
        <w:ind w:left="720"/>
        <w:rPr>
          <w:color w:val="FF0000"/>
        </w:rPr>
      </w:pPr>
      <w:r w:rsidRPr="00FD5752">
        <w:rPr>
          <w:b w:val="0"/>
          <w:sz w:val="24"/>
          <w:szCs w:val="24"/>
        </w:rPr>
        <w:t xml:space="preserve">Any procurement of works or services required pursuant to the action plan will be undertaken in accordance with the Council’s Contract </w:t>
      </w:r>
      <w:r w:rsidRPr="00FD5752">
        <w:rPr>
          <w:b w:val="0"/>
          <w:sz w:val="24"/>
          <w:szCs w:val="24"/>
        </w:rPr>
        <w:lastRenderedPageBreak/>
        <w:t xml:space="preserve">Procedure Rules and, as applicable, The Public Contracts Regulations 2015.  </w:t>
      </w:r>
    </w:p>
    <w:p w:rsidR="002A3FEF" w:rsidRDefault="002A3FEF" w:rsidP="00333FAA">
      <w:pPr>
        <w:pStyle w:val="Heading2"/>
      </w:pPr>
    </w:p>
    <w:p w:rsidR="00333FAA" w:rsidRDefault="00333FAA" w:rsidP="00333FAA">
      <w:pPr>
        <w:pStyle w:val="Heading2"/>
        <w:rPr>
          <w:sz w:val="24"/>
          <w:szCs w:val="24"/>
        </w:rPr>
      </w:pPr>
      <w:r w:rsidRPr="000D0F00">
        <w:rPr>
          <w:sz w:val="24"/>
          <w:szCs w:val="24"/>
        </w:rPr>
        <w:t>Legal Implications</w:t>
      </w:r>
    </w:p>
    <w:p w:rsidR="000D0F00" w:rsidRDefault="000D0F00" w:rsidP="000D0F00"/>
    <w:p w:rsidR="000D0F00" w:rsidRDefault="000D0F00" w:rsidP="000D0F00">
      <w:pPr>
        <w:ind w:left="720" w:hanging="720"/>
      </w:pPr>
      <w:r>
        <w:t>4.5</w:t>
      </w:r>
      <w:r>
        <w:tab/>
        <w:t xml:space="preserve">The Climate Change Act 2008 (as amended) imposes a duty on the Secretary of State to ensure that by 2050 net carbon dioxide and other </w:t>
      </w:r>
      <w:r w:rsidR="00825A15">
        <w:t xml:space="preserve">GHG </w:t>
      </w:r>
      <w:r>
        <w:t xml:space="preserve">emissions are reduced by at least 100% when compared to 1990 levels. In other words, the UK has committed to reach a net zero carbon position by 2050. </w:t>
      </w:r>
    </w:p>
    <w:p w:rsidR="000D0F00" w:rsidRDefault="000D0F00" w:rsidP="000D0F00"/>
    <w:p w:rsidR="000D0F00" w:rsidRPr="000D0F00" w:rsidRDefault="000D0F00" w:rsidP="000D0F00">
      <w:pPr>
        <w:ind w:left="720" w:hanging="720"/>
      </w:pPr>
      <w:r>
        <w:t>4.6</w:t>
      </w:r>
      <w:r>
        <w:tab/>
        <w:t>Although local authorities need to comply with a range of environmental and planning legislation, which together contribute to meeting the government’s national target, there is no specific legal obligation placed upon them to set a local target for GHG reductions.</w:t>
      </w:r>
    </w:p>
    <w:p w:rsidR="001C7E35" w:rsidRPr="001C7E35" w:rsidRDefault="001C7E35" w:rsidP="001C7E35"/>
    <w:p w:rsidR="0054590F" w:rsidRDefault="00333FAA" w:rsidP="000D0F00">
      <w:pPr>
        <w:pStyle w:val="Heading2"/>
        <w:rPr>
          <w:sz w:val="24"/>
          <w:szCs w:val="24"/>
        </w:rPr>
      </w:pPr>
      <w:r w:rsidRPr="000D0F00">
        <w:rPr>
          <w:sz w:val="24"/>
          <w:szCs w:val="24"/>
        </w:rPr>
        <w:t xml:space="preserve">Financial </w:t>
      </w:r>
      <w:r w:rsidR="00B243DF" w:rsidRPr="000D0F00">
        <w:rPr>
          <w:sz w:val="24"/>
          <w:szCs w:val="24"/>
        </w:rPr>
        <w:t xml:space="preserve">&amp; Resourcing </w:t>
      </w:r>
      <w:r w:rsidRPr="000D0F00">
        <w:rPr>
          <w:sz w:val="24"/>
          <w:szCs w:val="24"/>
        </w:rPr>
        <w:t>Implications</w:t>
      </w:r>
    </w:p>
    <w:p w:rsidR="000D0F00" w:rsidRDefault="000D0F00" w:rsidP="000D0F00"/>
    <w:p w:rsidR="00825A15" w:rsidRDefault="000D0F00" w:rsidP="00825A15">
      <w:pPr>
        <w:ind w:left="720" w:hanging="720"/>
      </w:pPr>
      <w:r>
        <w:t>4.7</w:t>
      </w:r>
      <w:r>
        <w:tab/>
      </w:r>
      <w:r w:rsidR="00825A15">
        <w:t>Whilst good progress has been made over recent months establishing officer and member working groups and beginning to develop relationships with key borough and London-wide partners, there is currently no dedicated co-ordination section for a climate emergency response</w:t>
      </w:r>
      <w:r w:rsidR="000E59D1">
        <w:t xml:space="preserve"> in the Council</w:t>
      </w:r>
      <w:r w:rsidR="00825A15">
        <w:t>, and limited delivery capacity in key operational areas beyond maintaining a business as usual approach.</w:t>
      </w:r>
    </w:p>
    <w:p w:rsidR="00825A15" w:rsidRDefault="00825A15" w:rsidP="00825A15">
      <w:pPr>
        <w:ind w:left="720" w:hanging="720"/>
      </w:pPr>
    </w:p>
    <w:p w:rsidR="00825A15" w:rsidRDefault="00825A15" w:rsidP="00825A15">
      <w:pPr>
        <w:ind w:left="720" w:hanging="720"/>
      </w:pPr>
      <w:r>
        <w:t>4.8</w:t>
      </w:r>
      <w:r>
        <w:tab/>
        <w:t xml:space="preserve">In the medium term, as carbon reduction pathways are developed and resourcing needs identified, there will need to be a work stream to begin a process of long term budgeting over </w:t>
      </w:r>
      <w:r w:rsidR="000E59D1">
        <w:t xml:space="preserve">a </w:t>
      </w:r>
      <w:r>
        <w:t xml:space="preserve">10 year period, to include in depth exploration of future funding strategies and opportunities. </w:t>
      </w:r>
    </w:p>
    <w:p w:rsidR="00825A15" w:rsidRDefault="00825A15" w:rsidP="00825A15">
      <w:pPr>
        <w:ind w:left="720" w:hanging="720"/>
      </w:pPr>
    </w:p>
    <w:p w:rsidR="000E59D1" w:rsidRDefault="00825A15" w:rsidP="00825A15">
      <w:pPr>
        <w:ind w:left="720" w:hanging="720"/>
      </w:pPr>
      <w:r>
        <w:t>4.9</w:t>
      </w:r>
      <w:r>
        <w:tab/>
        <w:t>In the shorter term, over the next 12 months, t</w:t>
      </w:r>
      <w:r w:rsidR="000E59D1">
        <w:t>here is still a</w:t>
      </w:r>
      <w:r>
        <w:t xml:space="preserve"> significant programme of work to be undertaken. To help co-ordinate </w:t>
      </w:r>
      <w:r w:rsidR="006B1467">
        <w:t xml:space="preserve">this </w:t>
      </w:r>
      <w:r>
        <w:t xml:space="preserve">activity and bring forward a ten year plan it is proposed to </w:t>
      </w:r>
      <w:r w:rsidR="00CE627F">
        <w:t xml:space="preserve">second </w:t>
      </w:r>
      <w:r>
        <w:t xml:space="preserve">an officer at head of service level, to take on a Climate Strategy and Natural Resources co-ordination and partnership role. They would be supported by the existing energy team, recognising the </w:t>
      </w:r>
      <w:r w:rsidR="006B1467">
        <w:t xml:space="preserve">central </w:t>
      </w:r>
      <w:r>
        <w:t xml:space="preserve">importance of energy to the borough’s ambitions to achieve carbon neutrality. The remit would include developing this agenda </w:t>
      </w:r>
      <w:r w:rsidR="006B1467">
        <w:t xml:space="preserve">with officers </w:t>
      </w:r>
      <w:r>
        <w:t xml:space="preserve">across </w:t>
      </w:r>
      <w:r w:rsidR="006B1467">
        <w:t xml:space="preserve">other </w:t>
      </w:r>
      <w:r>
        <w:t xml:space="preserve">key </w:t>
      </w:r>
      <w:r w:rsidR="006B1467">
        <w:t xml:space="preserve">operational </w:t>
      </w:r>
      <w:r>
        <w:t xml:space="preserve">service areas, to include Waste, Housing, Transport, </w:t>
      </w:r>
      <w:r w:rsidR="006B1467">
        <w:t xml:space="preserve">Greenspace Management, </w:t>
      </w:r>
      <w:r>
        <w:t>Regeneration Delivery, Economic Development, Procurement, Schools, Public Health, Policy and Communications</w:t>
      </w:r>
      <w:r w:rsidR="000E59D1">
        <w:t>.</w:t>
      </w:r>
    </w:p>
    <w:p w:rsidR="00D941E4" w:rsidRDefault="00D941E4" w:rsidP="00825A15">
      <w:pPr>
        <w:ind w:left="720" w:hanging="720"/>
      </w:pPr>
    </w:p>
    <w:p w:rsidR="000D0F00" w:rsidRDefault="000E59D1" w:rsidP="000E59D1">
      <w:pPr>
        <w:ind w:left="720" w:hanging="720"/>
      </w:pPr>
      <w:r>
        <w:t>4.10</w:t>
      </w:r>
      <w:r w:rsidR="00825A15">
        <w:tab/>
      </w:r>
      <w:r w:rsidR="00BD5722">
        <w:t>A</w:t>
      </w:r>
      <w:r w:rsidR="00825A15">
        <w:t xml:space="preserve">n operational </w:t>
      </w:r>
      <w:r>
        <w:t xml:space="preserve">revenue </w:t>
      </w:r>
      <w:r w:rsidR="00825A15">
        <w:t xml:space="preserve">budget </w:t>
      </w:r>
      <w:r w:rsidR="00BD5722">
        <w:t xml:space="preserve">of £150,000 is required for </w:t>
      </w:r>
      <w:r w:rsidR="00825A15">
        <w:t>20/21</w:t>
      </w:r>
      <w:r w:rsidR="00D941E4">
        <w:t xml:space="preserve">, which will come from a one off capacity building reserve. </w:t>
      </w:r>
      <w:r w:rsidR="00BD5722">
        <w:t xml:space="preserve">This </w:t>
      </w:r>
      <w:r w:rsidR="004B4451">
        <w:t xml:space="preserve">is </w:t>
      </w:r>
      <w:r w:rsidR="00825A15">
        <w:t xml:space="preserve">to fund </w:t>
      </w:r>
      <w:r w:rsidR="00BD5722">
        <w:t>staff costs</w:t>
      </w:r>
      <w:r w:rsidR="004B4451">
        <w:t xml:space="preserve">, </w:t>
      </w:r>
      <w:r w:rsidR="00825A15">
        <w:t>necessary project support and professional consultancy advice in order to esta</w:t>
      </w:r>
      <w:r>
        <w:t xml:space="preserve">blish carbon reduction pathways and inform future decision making. </w:t>
      </w:r>
    </w:p>
    <w:p w:rsidR="00D941E4" w:rsidRDefault="00D941E4" w:rsidP="000E59D1">
      <w:pPr>
        <w:ind w:left="720" w:hanging="720"/>
      </w:pPr>
    </w:p>
    <w:p w:rsidR="00D941E4" w:rsidRDefault="00D941E4" w:rsidP="000E59D1">
      <w:pPr>
        <w:ind w:left="720" w:hanging="720"/>
      </w:pPr>
      <w:r>
        <w:t>4.11</w:t>
      </w:r>
      <w:r>
        <w:tab/>
      </w:r>
      <w:r w:rsidRPr="00D941E4">
        <w:t xml:space="preserve">The </w:t>
      </w:r>
      <w:r>
        <w:t xml:space="preserve">initial </w:t>
      </w:r>
      <w:r w:rsidRPr="00D941E4">
        <w:t xml:space="preserve">actions to be brought forward can be </w:t>
      </w:r>
      <w:r w:rsidR="009E662D">
        <w:t xml:space="preserve">undertaken </w:t>
      </w:r>
      <w:r w:rsidRPr="00D941E4">
        <w:t xml:space="preserve">within existing approved work programmes, using existing </w:t>
      </w:r>
      <w:r w:rsidR="00E37FDB">
        <w:t xml:space="preserve">departmental </w:t>
      </w:r>
      <w:r w:rsidRPr="00D941E4">
        <w:t>resource</w:t>
      </w:r>
      <w:r w:rsidR="00E37FDB">
        <w:t>s</w:t>
      </w:r>
      <w:r w:rsidRPr="00D941E4">
        <w:t xml:space="preserve"> or</w:t>
      </w:r>
      <w:r>
        <w:t xml:space="preserve"> </w:t>
      </w:r>
      <w:r w:rsidR="00E37FDB">
        <w:t xml:space="preserve">through </w:t>
      </w:r>
      <w:r>
        <w:t xml:space="preserve">the additional capacity building revenue funding </w:t>
      </w:r>
      <w:r>
        <w:lastRenderedPageBreak/>
        <w:t xml:space="preserve">referred to above. </w:t>
      </w:r>
      <w:r w:rsidR="00E37FDB">
        <w:t xml:space="preserve">As initial feasibility work identifies projects </w:t>
      </w:r>
      <w:r w:rsidR="00C07210">
        <w:t xml:space="preserve">to take forward, a business case must be developed which identifies all resourcing implications (capital and revenue) which must be approved prior to commencement of the scheme. </w:t>
      </w:r>
    </w:p>
    <w:p w:rsidR="000E59D1" w:rsidRDefault="000E59D1" w:rsidP="000E59D1">
      <w:pPr>
        <w:ind w:left="720" w:hanging="720"/>
      </w:pPr>
    </w:p>
    <w:p w:rsidR="000E59D1" w:rsidRPr="000E59D1" w:rsidRDefault="000E59D1" w:rsidP="000E59D1">
      <w:pPr>
        <w:ind w:left="720" w:hanging="720"/>
        <w:rPr>
          <w:b/>
        </w:rPr>
      </w:pPr>
      <w:r w:rsidRPr="000E59D1">
        <w:rPr>
          <w:b/>
        </w:rPr>
        <w:t xml:space="preserve">Carbon Offset Fund </w:t>
      </w:r>
    </w:p>
    <w:p w:rsidR="000E59D1" w:rsidRDefault="000E59D1" w:rsidP="000E59D1">
      <w:pPr>
        <w:ind w:left="720" w:hanging="720"/>
      </w:pPr>
    </w:p>
    <w:p w:rsidR="000E59D1" w:rsidRDefault="000E59D1" w:rsidP="000E59D1">
      <w:pPr>
        <w:ind w:left="720" w:hanging="720"/>
      </w:pPr>
      <w:r>
        <w:t>4.1</w:t>
      </w:r>
      <w:r w:rsidR="00E37FDB">
        <w:t>2</w:t>
      </w:r>
      <w:r>
        <w:tab/>
        <w:t xml:space="preserve">Under the current London Plan, all major residential developments (i.e. 10 or more dwellings) are expected to achieve net zero carbon development. As a minimum there needs to be at least a 35% reduction in </w:t>
      </w:r>
      <w:r w:rsidR="00385569" w:rsidRPr="00521943">
        <w:t>CO</w:t>
      </w:r>
      <w:r w:rsidR="00385569" w:rsidRPr="00361D87">
        <w:rPr>
          <w:vertAlign w:val="subscript"/>
        </w:rPr>
        <w:t>2</w:t>
      </w:r>
      <w:r w:rsidR="00385569">
        <w:rPr>
          <w:vertAlign w:val="subscript"/>
        </w:rPr>
        <w:t xml:space="preserve"> </w:t>
      </w:r>
      <w:r>
        <w:t>emissions (relative to the Building Regulations) achieved through on-site measures as part of the actual development (</w:t>
      </w:r>
      <w:r w:rsidR="005A7C7B">
        <w:t xml:space="preserve">for example, </w:t>
      </w:r>
      <w:r>
        <w:t xml:space="preserve">energy efficient lights, triple glazing, low carbon heating systems, solar PV panels </w:t>
      </w:r>
      <w:proofErr w:type="spellStart"/>
      <w:r>
        <w:t>etc</w:t>
      </w:r>
      <w:proofErr w:type="spellEnd"/>
      <w:r>
        <w:t xml:space="preserve">), and any remaining emissions must be offset </w:t>
      </w:r>
      <w:r w:rsidR="005A7C7B">
        <w:t xml:space="preserve">either by the developer directly using other land or </w:t>
      </w:r>
      <w:r>
        <w:t xml:space="preserve">through a monetary contribution </w:t>
      </w:r>
      <w:r w:rsidR="00EA2F88">
        <w:t xml:space="preserve">payable </w:t>
      </w:r>
      <w:r>
        <w:t xml:space="preserve">to the Council so as to achieve </w:t>
      </w:r>
      <w:r w:rsidR="005A7C7B">
        <w:t xml:space="preserve">net </w:t>
      </w:r>
      <w:r>
        <w:t>zero carbon</w:t>
      </w:r>
      <w:r w:rsidR="005A7C7B">
        <w:t xml:space="preserve"> development</w:t>
      </w:r>
      <w:r>
        <w:t xml:space="preserve">. </w:t>
      </w:r>
      <w:r w:rsidRPr="000E59D1">
        <w:t xml:space="preserve">Contributions are secured by way of </w:t>
      </w:r>
      <w:r w:rsidR="00CD7631" w:rsidRPr="000E59D1">
        <w:t xml:space="preserve">planning obligations </w:t>
      </w:r>
      <w:r w:rsidR="00CD7631">
        <w:t xml:space="preserve">contained in Section </w:t>
      </w:r>
      <w:r w:rsidRPr="000E59D1">
        <w:t xml:space="preserve">106 </w:t>
      </w:r>
      <w:r w:rsidR="00CD7631">
        <w:t>A</w:t>
      </w:r>
      <w:r w:rsidRPr="000E59D1">
        <w:t xml:space="preserve">greements.  </w:t>
      </w:r>
    </w:p>
    <w:p w:rsidR="000E59D1" w:rsidRDefault="000E59D1" w:rsidP="000E59D1">
      <w:pPr>
        <w:ind w:left="720" w:hanging="720"/>
      </w:pPr>
    </w:p>
    <w:p w:rsidR="00EA2F88" w:rsidRDefault="000E59D1" w:rsidP="00EA2F88">
      <w:pPr>
        <w:ind w:left="720" w:hanging="720"/>
      </w:pPr>
      <w:r>
        <w:t>4.1</w:t>
      </w:r>
      <w:r w:rsidR="00E37FDB">
        <w:t>3</w:t>
      </w:r>
      <w:r>
        <w:tab/>
      </w:r>
      <w:r w:rsidR="00EA2F88">
        <w:t>At present receipts are modest (c £24,000) due to the time-lag in</w:t>
      </w:r>
      <w:r w:rsidR="005A7C7B">
        <w:t xml:space="preserve"> between</w:t>
      </w:r>
      <w:r w:rsidR="00EA2F88">
        <w:t xml:space="preserve"> the grant of planning permission and when payment of the contribution is </w:t>
      </w:r>
      <w:r w:rsidR="005A7C7B">
        <w:t xml:space="preserve">due </w:t>
      </w:r>
      <w:r w:rsidR="00EA2F88">
        <w:t xml:space="preserve">but are expected to grow as more developments are commenced / completed and </w:t>
      </w:r>
      <w:r w:rsidR="002D6871">
        <w:t xml:space="preserve">thereby </w:t>
      </w:r>
      <w:r w:rsidR="00EA2F88">
        <w:t xml:space="preserve">trigger contractual payments, to include at least an additional £90,000 during 20/21. </w:t>
      </w:r>
    </w:p>
    <w:p w:rsidR="00EA2F88" w:rsidRDefault="00EA2F88" w:rsidP="00EA2F88">
      <w:pPr>
        <w:ind w:left="720" w:hanging="720"/>
      </w:pPr>
    </w:p>
    <w:p w:rsidR="00EA2F88" w:rsidRDefault="00EA2F88" w:rsidP="00EA2F88">
      <w:pPr>
        <w:ind w:left="720" w:hanging="720"/>
      </w:pPr>
      <w:r>
        <w:t>4.1</w:t>
      </w:r>
      <w:r w:rsidR="00E37FDB">
        <w:t>4</w:t>
      </w:r>
      <w:r>
        <w:tab/>
        <w:t xml:space="preserve">The Fund must be spent by the local authority on carbon </w:t>
      </w:r>
      <w:r w:rsidR="005A7C7B">
        <w:t xml:space="preserve">emission </w:t>
      </w:r>
      <w:r>
        <w:t xml:space="preserve">reduction initiatives in the Borough. To facilitate delivery of </w:t>
      </w:r>
      <w:r w:rsidR="006B1467">
        <w:t xml:space="preserve">some initial </w:t>
      </w:r>
      <w:r>
        <w:t xml:space="preserve">projects in 20/21, it is proposed that the Corporate Director – Community </w:t>
      </w:r>
      <w:r w:rsidRPr="00EA2F88">
        <w:t>agree</w:t>
      </w:r>
      <w:r>
        <w:t>s</w:t>
      </w:r>
      <w:r w:rsidRPr="00EA2F88">
        <w:t xml:space="preserve"> a process for priority allocation of Carbon Offset Funds</w:t>
      </w:r>
      <w:r>
        <w:t xml:space="preserve">. </w:t>
      </w:r>
    </w:p>
    <w:p w:rsidR="00EA2F88" w:rsidRDefault="00EA2F88" w:rsidP="00EA2F88">
      <w:pPr>
        <w:ind w:left="720" w:hanging="720"/>
      </w:pPr>
    </w:p>
    <w:p w:rsidR="000E59D1" w:rsidRPr="000D0F00" w:rsidRDefault="000E59D1" w:rsidP="000E59D1">
      <w:pPr>
        <w:ind w:left="720" w:hanging="720"/>
      </w:pPr>
    </w:p>
    <w:p w:rsidR="00333FAA" w:rsidRPr="00EA2F88" w:rsidRDefault="00333FAA" w:rsidP="00333FAA">
      <w:pPr>
        <w:pStyle w:val="Heading2"/>
        <w:keepNext/>
        <w:rPr>
          <w:color w:val="FF0000"/>
          <w:sz w:val="24"/>
          <w:szCs w:val="24"/>
        </w:rPr>
      </w:pPr>
      <w:r w:rsidRPr="00EA2F88">
        <w:rPr>
          <w:sz w:val="24"/>
          <w:szCs w:val="24"/>
        </w:rPr>
        <w:t>Equalities implications</w:t>
      </w:r>
      <w:r w:rsidR="001C7E35" w:rsidRPr="00EA2F88">
        <w:rPr>
          <w:sz w:val="24"/>
          <w:szCs w:val="24"/>
        </w:rPr>
        <w:t xml:space="preserve"> </w:t>
      </w:r>
      <w:r w:rsidRPr="00EA2F88">
        <w:rPr>
          <w:sz w:val="24"/>
          <w:szCs w:val="24"/>
        </w:rPr>
        <w:t>/</w:t>
      </w:r>
      <w:r w:rsidR="001C7E35" w:rsidRPr="00EA2F88">
        <w:rPr>
          <w:sz w:val="24"/>
          <w:szCs w:val="24"/>
        </w:rPr>
        <w:t xml:space="preserve"> </w:t>
      </w:r>
      <w:r w:rsidRPr="00EA2F88">
        <w:rPr>
          <w:sz w:val="24"/>
          <w:szCs w:val="24"/>
        </w:rPr>
        <w:t>Public Sector Equality Duty</w:t>
      </w:r>
    </w:p>
    <w:p w:rsidR="0054590F" w:rsidRDefault="0054590F" w:rsidP="001966D7"/>
    <w:p w:rsidR="000929A6" w:rsidRPr="005B4A47" w:rsidRDefault="00EA2F88" w:rsidP="00EA2F88">
      <w:pPr>
        <w:ind w:left="720" w:hanging="720"/>
        <w:rPr>
          <w:iCs/>
        </w:rPr>
      </w:pPr>
      <w:r>
        <w:rPr>
          <w:iCs/>
        </w:rPr>
        <w:t>4.1</w:t>
      </w:r>
      <w:r w:rsidR="00E37FDB">
        <w:rPr>
          <w:iCs/>
        </w:rPr>
        <w:t>5</w:t>
      </w:r>
      <w:r>
        <w:rPr>
          <w:iCs/>
        </w:rPr>
        <w:tab/>
      </w:r>
      <w:r w:rsidR="005B6EFD" w:rsidRPr="005B4A47">
        <w:rPr>
          <w:iCs/>
        </w:rPr>
        <w:t>Achieving good equality outcomes is explicitly acknowledged in the draft strategic framework presented with this report, through the theme committing to actions to ensure a socially just transition to a low carbon society. A full Equalities Impact Assessment will accompany the dev</w:t>
      </w:r>
      <w:r w:rsidR="005B4A47">
        <w:rPr>
          <w:iCs/>
        </w:rPr>
        <w:t>elopment of the renewed borough-</w:t>
      </w:r>
      <w:r w:rsidR="005B6EFD" w:rsidRPr="005B4A47">
        <w:rPr>
          <w:iCs/>
        </w:rPr>
        <w:t xml:space="preserve">wide </w:t>
      </w:r>
      <w:r w:rsidR="00B243DF" w:rsidRPr="005B4A47">
        <w:rPr>
          <w:iCs/>
        </w:rPr>
        <w:t xml:space="preserve">2030 Climate Strategy. </w:t>
      </w:r>
    </w:p>
    <w:p w:rsidR="0054590F" w:rsidRPr="00A20113" w:rsidRDefault="0054590F" w:rsidP="001966D7">
      <w:pPr>
        <w:rPr>
          <w:i/>
          <w:color w:val="0000FF"/>
        </w:rPr>
      </w:pPr>
    </w:p>
    <w:p w:rsidR="00333FAA" w:rsidRPr="00EA2F88" w:rsidRDefault="00333FAA" w:rsidP="00333FAA">
      <w:pPr>
        <w:rPr>
          <w:b/>
          <w:szCs w:val="24"/>
        </w:rPr>
      </w:pPr>
      <w:r w:rsidRPr="00EA2F88">
        <w:rPr>
          <w:b/>
          <w:szCs w:val="24"/>
        </w:rPr>
        <w:t>Council Priorities</w:t>
      </w:r>
    </w:p>
    <w:p w:rsidR="00333FAA" w:rsidRDefault="00333FAA" w:rsidP="00333FAA"/>
    <w:p w:rsidR="0025063C" w:rsidRDefault="00EA2F88" w:rsidP="00EA2F88">
      <w:pPr>
        <w:autoSpaceDE w:val="0"/>
        <w:autoSpaceDN w:val="0"/>
        <w:ind w:left="720" w:hanging="720"/>
        <w:contextualSpacing/>
      </w:pPr>
      <w:r>
        <w:t>4.1</w:t>
      </w:r>
      <w:r w:rsidR="00E37FDB">
        <w:t>6</w:t>
      </w:r>
      <w:r>
        <w:tab/>
      </w:r>
      <w:r w:rsidR="0025063C">
        <w:t xml:space="preserve">Improving the Environment and Addressing Climate Change is a key priority of the Council’s proposed new Borough Plan for the period 2020-2030, </w:t>
      </w:r>
      <w:r w:rsidR="005B4A47">
        <w:t xml:space="preserve">which was </w:t>
      </w:r>
      <w:r w:rsidR="0025063C">
        <w:t>approved for public consultation by Cabinet in February 2020. A co-ordinated and holistic response to the Climate &amp; Ecological Emergency</w:t>
      </w:r>
      <w:r w:rsidR="002D6871">
        <w:t>,</w:t>
      </w:r>
      <w:r w:rsidR="0025063C">
        <w:t xml:space="preserve"> </w:t>
      </w:r>
      <w:r w:rsidR="002D6871">
        <w:t xml:space="preserve">as envisaged by the emerging strategic framework set out in this report, </w:t>
      </w:r>
      <w:r w:rsidR="0025063C">
        <w:t>also has significant potential to drive positive change across the other priority areas in the Borough Plan</w:t>
      </w:r>
      <w:r w:rsidR="002D6871">
        <w:t xml:space="preserve">. This </w:t>
      </w:r>
      <w:r w:rsidR="0025063C">
        <w:t>includ</w:t>
      </w:r>
      <w:r w:rsidR="002D6871">
        <w:t>es</w:t>
      </w:r>
      <w:r w:rsidR="0025063C">
        <w:t xml:space="preserve"> better public health outcomes, a stronger green local economy and address</w:t>
      </w:r>
      <w:r w:rsidR="002D6871">
        <w:t>ing</w:t>
      </w:r>
      <w:r w:rsidR="0025063C">
        <w:t xml:space="preserve"> inequality</w:t>
      </w:r>
      <w:r w:rsidR="002D6871">
        <w:t xml:space="preserve"> in Harrow</w:t>
      </w:r>
      <w:r w:rsidR="0025063C">
        <w:t>.</w:t>
      </w:r>
    </w:p>
    <w:p w:rsidR="0025063C" w:rsidRDefault="0025063C" w:rsidP="0025063C">
      <w:pPr>
        <w:autoSpaceDE w:val="0"/>
        <w:autoSpaceDN w:val="0"/>
        <w:contextualSpacing/>
      </w:pPr>
    </w:p>
    <w:p w:rsidR="00EA2F88" w:rsidRDefault="00EA2F88" w:rsidP="00333FAA">
      <w:pPr>
        <w:pStyle w:val="Heading1"/>
        <w:keepNext/>
      </w:pPr>
    </w:p>
    <w:p w:rsidR="00333FAA" w:rsidRDefault="00333FAA" w:rsidP="00333FAA">
      <w:pPr>
        <w:pStyle w:val="Heading1"/>
        <w:keepNext/>
      </w:pPr>
      <w:r>
        <w:t>Section 3 - Statutory Officer Clearance</w:t>
      </w:r>
    </w:p>
    <w:p w:rsidR="007D2000" w:rsidRPr="00C817CB" w:rsidRDefault="007D2000" w:rsidP="007D2000">
      <w:pPr>
        <w:keepNext/>
        <w:rPr>
          <w:rFonts w:ascii="Arial Black" w:hAnsi="Arial Black" w:cs="Arial"/>
          <w:color w:val="0000FF"/>
          <w:szCs w:val="24"/>
        </w:rPr>
      </w:pP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23"/>
        <w:gridCol w:w="360"/>
        <w:gridCol w:w="23"/>
        <w:gridCol w:w="211"/>
        <w:gridCol w:w="23"/>
        <w:gridCol w:w="3575"/>
      </w:tblGrid>
      <w:tr w:rsidR="00333FAA" w:rsidTr="005407F9">
        <w:tc>
          <w:tcPr>
            <w:tcW w:w="4333"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83" w:type="dxa"/>
            <w:gridSpan w:val="2"/>
            <w:tcBorders>
              <w:left w:val="nil"/>
              <w:right w:val="nil"/>
            </w:tcBorders>
          </w:tcPr>
          <w:p w:rsidR="00333FAA" w:rsidRDefault="00333FAA" w:rsidP="00A53B04">
            <w:pPr>
              <w:pStyle w:val="Infotext"/>
            </w:pPr>
          </w:p>
        </w:tc>
        <w:tc>
          <w:tcPr>
            <w:tcW w:w="234" w:type="dxa"/>
            <w:gridSpan w:val="2"/>
            <w:tcBorders>
              <w:left w:val="nil"/>
              <w:bottom w:val="nil"/>
              <w:right w:val="nil"/>
            </w:tcBorders>
          </w:tcPr>
          <w:p w:rsidR="00333FAA" w:rsidRDefault="00333FAA" w:rsidP="00A53B04">
            <w:pPr>
              <w:pStyle w:val="Infotext"/>
            </w:pPr>
          </w:p>
        </w:tc>
        <w:tc>
          <w:tcPr>
            <w:tcW w:w="3575"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5407F9">
        <w:tc>
          <w:tcPr>
            <w:tcW w:w="4333" w:type="dxa"/>
            <w:gridSpan w:val="2"/>
            <w:tcBorders>
              <w:top w:val="nil"/>
              <w:bottom w:val="nil"/>
            </w:tcBorders>
          </w:tcPr>
          <w:p w:rsidR="00333FAA" w:rsidRDefault="00333FAA" w:rsidP="00A20D78">
            <w:pPr>
              <w:pStyle w:val="Infotext"/>
            </w:pPr>
            <w:r>
              <w:t>Name:</w:t>
            </w:r>
            <w:r w:rsidR="00DB6C3D">
              <w:t xml:space="preserve"> </w:t>
            </w:r>
            <w:r w:rsidR="00A20D78">
              <w:t xml:space="preserve"> </w:t>
            </w:r>
            <w:r w:rsidR="009B3CDC">
              <w:tab/>
            </w:r>
            <w:r w:rsidR="00242F05">
              <w:t>Jessie Man</w:t>
            </w:r>
          </w:p>
        </w:tc>
        <w:tc>
          <w:tcPr>
            <w:tcW w:w="383" w:type="dxa"/>
            <w:gridSpan w:val="2"/>
            <w:tcBorders>
              <w:bottom w:val="single" w:sz="4" w:space="0" w:color="auto"/>
            </w:tcBorders>
          </w:tcPr>
          <w:p w:rsidR="00333FAA" w:rsidRDefault="00242F05" w:rsidP="00A53B04">
            <w:pPr>
              <w:pStyle w:val="Infotext"/>
            </w:pPr>
            <w:r>
              <w:t>x</w:t>
            </w:r>
          </w:p>
        </w:tc>
        <w:tc>
          <w:tcPr>
            <w:tcW w:w="234" w:type="dxa"/>
            <w:gridSpan w:val="2"/>
            <w:tcBorders>
              <w:top w:val="nil"/>
              <w:bottom w:val="nil"/>
              <w:right w:val="nil"/>
            </w:tcBorders>
          </w:tcPr>
          <w:p w:rsidR="00333FAA" w:rsidRDefault="00333FAA" w:rsidP="00A53B04">
            <w:pPr>
              <w:pStyle w:val="Infotext"/>
            </w:pPr>
          </w:p>
        </w:tc>
        <w:tc>
          <w:tcPr>
            <w:tcW w:w="3575" w:type="dxa"/>
            <w:tcBorders>
              <w:top w:val="nil"/>
              <w:left w:val="nil"/>
              <w:bottom w:val="nil"/>
            </w:tcBorders>
          </w:tcPr>
          <w:p w:rsidR="00333FAA" w:rsidRDefault="00333FAA" w:rsidP="00A53B04">
            <w:pPr>
              <w:pStyle w:val="Infotext"/>
            </w:pPr>
            <w:r>
              <w:t>Chief Financial Officer</w:t>
            </w:r>
          </w:p>
        </w:tc>
      </w:tr>
      <w:tr w:rsidR="00333FAA" w:rsidTr="005407F9">
        <w:tc>
          <w:tcPr>
            <w:tcW w:w="4333" w:type="dxa"/>
            <w:gridSpan w:val="2"/>
            <w:tcBorders>
              <w:top w:val="nil"/>
              <w:right w:val="nil"/>
            </w:tcBorders>
          </w:tcPr>
          <w:p w:rsidR="00333FAA" w:rsidRDefault="00333FAA" w:rsidP="00A53B04">
            <w:pPr>
              <w:pStyle w:val="Infotext"/>
            </w:pPr>
            <w:r>
              <w:t xml:space="preserve"> </w:t>
            </w:r>
          </w:p>
          <w:p w:rsidR="00333FAA" w:rsidRDefault="00333FAA" w:rsidP="009B3CDC">
            <w:pPr>
              <w:pStyle w:val="Infotext"/>
            </w:pPr>
            <w:r>
              <w:t xml:space="preserve">Date: </w:t>
            </w:r>
            <w:r w:rsidR="009B3CDC">
              <w:tab/>
            </w:r>
            <w:r w:rsidR="00242F05">
              <w:t>28</w:t>
            </w:r>
            <w:r w:rsidR="00242F05" w:rsidRPr="005A7C7B">
              <w:rPr>
                <w:vertAlign w:val="superscript"/>
              </w:rPr>
              <w:t>th</w:t>
            </w:r>
            <w:r w:rsidR="00242F05">
              <w:t xml:space="preserve"> February</w:t>
            </w:r>
            <w:r w:rsidR="00A20D78">
              <w:t xml:space="preserve"> </w:t>
            </w:r>
            <w:r w:rsidR="005B4A47">
              <w:t>2020</w:t>
            </w:r>
          </w:p>
        </w:tc>
        <w:tc>
          <w:tcPr>
            <w:tcW w:w="383" w:type="dxa"/>
            <w:gridSpan w:val="2"/>
            <w:tcBorders>
              <w:left w:val="nil"/>
              <w:bottom w:val="single" w:sz="4" w:space="0" w:color="auto"/>
              <w:right w:val="nil"/>
            </w:tcBorders>
          </w:tcPr>
          <w:p w:rsidR="00333FAA" w:rsidRDefault="00333FAA" w:rsidP="00A53B04">
            <w:pPr>
              <w:pStyle w:val="Infotext"/>
            </w:pPr>
          </w:p>
        </w:tc>
        <w:tc>
          <w:tcPr>
            <w:tcW w:w="234" w:type="dxa"/>
            <w:gridSpan w:val="2"/>
            <w:tcBorders>
              <w:top w:val="nil"/>
              <w:left w:val="nil"/>
              <w:right w:val="nil"/>
            </w:tcBorders>
          </w:tcPr>
          <w:p w:rsidR="00333FAA" w:rsidRDefault="00333FAA" w:rsidP="00A53B04">
            <w:pPr>
              <w:pStyle w:val="Infotext"/>
            </w:pPr>
          </w:p>
        </w:tc>
        <w:tc>
          <w:tcPr>
            <w:tcW w:w="3575" w:type="dxa"/>
            <w:tcBorders>
              <w:top w:val="nil"/>
              <w:left w:val="nil"/>
            </w:tcBorders>
          </w:tcPr>
          <w:p w:rsidR="00333FAA" w:rsidRDefault="00333FAA" w:rsidP="00A53B04">
            <w:pPr>
              <w:pStyle w:val="Infotext"/>
            </w:pPr>
          </w:p>
        </w:tc>
      </w:tr>
      <w:tr w:rsidR="00333FAA" w:rsidTr="005407F9">
        <w:tc>
          <w:tcPr>
            <w:tcW w:w="4333"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83" w:type="dxa"/>
            <w:gridSpan w:val="2"/>
            <w:tcBorders>
              <w:left w:val="nil"/>
              <w:right w:val="nil"/>
            </w:tcBorders>
          </w:tcPr>
          <w:p w:rsidR="00333FAA" w:rsidRDefault="00333FAA" w:rsidP="00A53B04">
            <w:pPr>
              <w:pStyle w:val="Infotext"/>
            </w:pPr>
          </w:p>
        </w:tc>
        <w:tc>
          <w:tcPr>
            <w:tcW w:w="234" w:type="dxa"/>
            <w:gridSpan w:val="2"/>
            <w:tcBorders>
              <w:left w:val="nil"/>
              <w:bottom w:val="nil"/>
              <w:right w:val="nil"/>
            </w:tcBorders>
          </w:tcPr>
          <w:p w:rsidR="00333FAA" w:rsidRDefault="00333FAA" w:rsidP="00A53B04">
            <w:pPr>
              <w:pStyle w:val="Infotext"/>
            </w:pPr>
          </w:p>
        </w:tc>
        <w:tc>
          <w:tcPr>
            <w:tcW w:w="3575"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5407F9">
        <w:tc>
          <w:tcPr>
            <w:tcW w:w="4333" w:type="dxa"/>
            <w:gridSpan w:val="2"/>
            <w:tcBorders>
              <w:top w:val="nil"/>
              <w:bottom w:val="nil"/>
            </w:tcBorders>
          </w:tcPr>
          <w:p w:rsidR="00333FAA" w:rsidRDefault="00333FAA" w:rsidP="00A20D78">
            <w:pPr>
              <w:pStyle w:val="Infotext"/>
            </w:pPr>
            <w:r>
              <w:t xml:space="preserve">Name: </w:t>
            </w:r>
            <w:r w:rsidR="00A20D78">
              <w:t xml:space="preserve"> </w:t>
            </w:r>
            <w:r w:rsidR="009B3CDC">
              <w:tab/>
            </w:r>
            <w:r w:rsidR="00242F05">
              <w:t>Jessica Farmer</w:t>
            </w:r>
          </w:p>
        </w:tc>
        <w:tc>
          <w:tcPr>
            <w:tcW w:w="383" w:type="dxa"/>
            <w:gridSpan w:val="2"/>
            <w:tcBorders>
              <w:bottom w:val="single" w:sz="4" w:space="0" w:color="auto"/>
            </w:tcBorders>
          </w:tcPr>
          <w:p w:rsidR="00333FAA" w:rsidRDefault="00242F05" w:rsidP="00A53B04">
            <w:pPr>
              <w:pStyle w:val="Infotext"/>
            </w:pPr>
            <w:r>
              <w:t>x</w:t>
            </w:r>
          </w:p>
        </w:tc>
        <w:tc>
          <w:tcPr>
            <w:tcW w:w="234" w:type="dxa"/>
            <w:gridSpan w:val="2"/>
            <w:tcBorders>
              <w:top w:val="nil"/>
              <w:bottom w:val="nil"/>
              <w:right w:val="nil"/>
            </w:tcBorders>
          </w:tcPr>
          <w:p w:rsidR="00333FAA" w:rsidRDefault="00333FAA" w:rsidP="00A53B04">
            <w:pPr>
              <w:pStyle w:val="Infotext"/>
            </w:pPr>
          </w:p>
        </w:tc>
        <w:tc>
          <w:tcPr>
            <w:tcW w:w="3575" w:type="dxa"/>
            <w:tcBorders>
              <w:top w:val="nil"/>
              <w:left w:val="nil"/>
              <w:bottom w:val="nil"/>
            </w:tcBorders>
          </w:tcPr>
          <w:p w:rsidR="00333FAA" w:rsidRDefault="00333FAA" w:rsidP="00A53B04">
            <w:pPr>
              <w:pStyle w:val="Infotext"/>
            </w:pPr>
            <w:r>
              <w:t>Monitoring Officer</w:t>
            </w:r>
          </w:p>
        </w:tc>
      </w:tr>
      <w:tr w:rsidR="00333FAA" w:rsidTr="005407F9">
        <w:tc>
          <w:tcPr>
            <w:tcW w:w="4333" w:type="dxa"/>
            <w:gridSpan w:val="2"/>
            <w:tcBorders>
              <w:top w:val="nil"/>
              <w:right w:val="nil"/>
            </w:tcBorders>
          </w:tcPr>
          <w:p w:rsidR="00333FAA" w:rsidRDefault="00333FAA" w:rsidP="00A53B04">
            <w:pPr>
              <w:pStyle w:val="Infotext"/>
            </w:pPr>
          </w:p>
          <w:p w:rsidR="00333FAA" w:rsidRDefault="00333FAA" w:rsidP="009B3CDC">
            <w:pPr>
              <w:pStyle w:val="Infotext"/>
            </w:pPr>
            <w:r>
              <w:t xml:space="preserve">Date: </w:t>
            </w:r>
            <w:r w:rsidR="00A20D78">
              <w:t xml:space="preserve"> </w:t>
            </w:r>
            <w:r w:rsidR="009B3CDC">
              <w:tab/>
            </w:r>
            <w:r w:rsidR="00242F05">
              <w:t>6</w:t>
            </w:r>
            <w:r w:rsidR="00242F05" w:rsidRPr="005A7C7B">
              <w:rPr>
                <w:vertAlign w:val="superscript"/>
              </w:rPr>
              <w:t>th</w:t>
            </w:r>
            <w:r w:rsidR="00242F05">
              <w:t xml:space="preserve"> March</w:t>
            </w:r>
            <w:r w:rsidR="009B3CDC">
              <w:t xml:space="preserve"> 2</w:t>
            </w:r>
            <w:r w:rsidR="005B4A47">
              <w:t>020</w:t>
            </w:r>
          </w:p>
        </w:tc>
        <w:tc>
          <w:tcPr>
            <w:tcW w:w="383" w:type="dxa"/>
            <w:gridSpan w:val="2"/>
            <w:tcBorders>
              <w:left w:val="nil"/>
              <w:right w:val="nil"/>
            </w:tcBorders>
          </w:tcPr>
          <w:p w:rsidR="00333FAA" w:rsidRDefault="00333FAA" w:rsidP="00A53B04">
            <w:pPr>
              <w:pStyle w:val="Infotext"/>
            </w:pPr>
          </w:p>
        </w:tc>
        <w:tc>
          <w:tcPr>
            <w:tcW w:w="234" w:type="dxa"/>
            <w:gridSpan w:val="2"/>
            <w:tcBorders>
              <w:top w:val="nil"/>
              <w:left w:val="nil"/>
              <w:right w:val="nil"/>
            </w:tcBorders>
          </w:tcPr>
          <w:p w:rsidR="00333FAA" w:rsidRDefault="00333FAA" w:rsidP="00A53B04">
            <w:pPr>
              <w:pStyle w:val="Infotext"/>
            </w:pPr>
          </w:p>
        </w:tc>
        <w:tc>
          <w:tcPr>
            <w:tcW w:w="3575" w:type="dxa"/>
            <w:tcBorders>
              <w:top w:val="nil"/>
              <w:left w:val="nil"/>
            </w:tcBorders>
          </w:tcPr>
          <w:p w:rsidR="00333FAA" w:rsidRDefault="00333FAA" w:rsidP="00A53B04">
            <w:pPr>
              <w:pStyle w:val="Infotext"/>
            </w:pPr>
          </w:p>
          <w:p w:rsidR="00333FAA" w:rsidRDefault="00333FAA" w:rsidP="00A53B04">
            <w:pPr>
              <w:pStyle w:val="Infotext"/>
            </w:pPr>
          </w:p>
        </w:tc>
      </w:tr>
      <w:tr w:rsidR="007116B1" w:rsidTr="005407F9">
        <w:tc>
          <w:tcPr>
            <w:tcW w:w="4310" w:type="dxa"/>
            <w:tcBorders>
              <w:bottom w:val="nil"/>
              <w:right w:val="nil"/>
            </w:tcBorders>
          </w:tcPr>
          <w:p w:rsidR="00321FBB" w:rsidRDefault="00321FBB" w:rsidP="004809FA">
            <w:pPr>
              <w:pStyle w:val="Infotext"/>
            </w:pPr>
          </w:p>
          <w:p w:rsidR="00321FBB" w:rsidRDefault="00321FBB" w:rsidP="004809FA">
            <w:pPr>
              <w:pStyle w:val="Infotext"/>
            </w:pPr>
          </w:p>
        </w:tc>
        <w:tc>
          <w:tcPr>
            <w:tcW w:w="383" w:type="dxa"/>
            <w:gridSpan w:val="2"/>
            <w:tcBorders>
              <w:left w:val="nil"/>
              <w:right w:val="nil"/>
            </w:tcBorders>
          </w:tcPr>
          <w:p w:rsidR="00321FBB" w:rsidRDefault="00321FBB" w:rsidP="004809FA">
            <w:pPr>
              <w:pStyle w:val="Infotext"/>
            </w:pPr>
          </w:p>
        </w:tc>
        <w:tc>
          <w:tcPr>
            <w:tcW w:w="234" w:type="dxa"/>
            <w:gridSpan w:val="2"/>
            <w:tcBorders>
              <w:left w:val="nil"/>
              <w:bottom w:val="nil"/>
              <w:right w:val="nil"/>
            </w:tcBorders>
          </w:tcPr>
          <w:p w:rsidR="00321FBB" w:rsidRDefault="00321FBB" w:rsidP="004809FA">
            <w:pPr>
              <w:pStyle w:val="Infotext"/>
            </w:pPr>
          </w:p>
        </w:tc>
        <w:tc>
          <w:tcPr>
            <w:tcW w:w="3598" w:type="dxa"/>
            <w:gridSpan w:val="2"/>
            <w:tcBorders>
              <w:left w:val="nil"/>
              <w:bottom w:val="nil"/>
            </w:tcBorders>
          </w:tcPr>
          <w:p w:rsidR="00321FBB" w:rsidRDefault="00321FBB" w:rsidP="004809FA">
            <w:pPr>
              <w:pStyle w:val="Infotext"/>
            </w:pPr>
          </w:p>
          <w:p w:rsidR="00321FBB" w:rsidRDefault="00321FBB" w:rsidP="00321FBB">
            <w:pPr>
              <w:pStyle w:val="Infotext"/>
            </w:pPr>
          </w:p>
        </w:tc>
      </w:tr>
      <w:tr w:rsidR="007116B1" w:rsidTr="005407F9">
        <w:tc>
          <w:tcPr>
            <w:tcW w:w="4310" w:type="dxa"/>
            <w:tcBorders>
              <w:top w:val="nil"/>
              <w:bottom w:val="nil"/>
            </w:tcBorders>
          </w:tcPr>
          <w:p w:rsidR="00321FBB" w:rsidRDefault="00321FBB" w:rsidP="00A20D78">
            <w:pPr>
              <w:pStyle w:val="Infotext"/>
            </w:pPr>
            <w:r>
              <w:t xml:space="preserve">Name: </w:t>
            </w:r>
            <w:r w:rsidR="00A20D78">
              <w:t xml:space="preserve"> </w:t>
            </w:r>
            <w:r w:rsidR="009B3CDC">
              <w:tab/>
            </w:r>
            <w:r w:rsidR="001E72D6">
              <w:t xml:space="preserve">Nimesh Mehta </w:t>
            </w:r>
          </w:p>
        </w:tc>
        <w:tc>
          <w:tcPr>
            <w:tcW w:w="383" w:type="dxa"/>
            <w:gridSpan w:val="2"/>
            <w:tcBorders>
              <w:bottom w:val="single" w:sz="4" w:space="0" w:color="auto"/>
            </w:tcBorders>
          </w:tcPr>
          <w:p w:rsidR="00321FBB" w:rsidRDefault="001E72D6" w:rsidP="004809FA">
            <w:pPr>
              <w:pStyle w:val="Infotext"/>
            </w:pPr>
            <w:r>
              <w:t>x</w:t>
            </w:r>
          </w:p>
        </w:tc>
        <w:tc>
          <w:tcPr>
            <w:tcW w:w="234" w:type="dxa"/>
            <w:gridSpan w:val="2"/>
            <w:tcBorders>
              <w:top w:val="nil"/>
              <w:bottom w:val="nil"/>
              <w:right w:val="nil"/>
            </w:tcBorders>
          </w:tcPr>
          <w:p w:rsidR="00321FBB" w:rsidRDefault="00321FBB" w:rsidP="004809FA">
            <w:pPr>
              <w:pStyle w:val="Infotext"/>
            </w:pPr>
          </w:p>
        </w:tc>
        <w:tc>
          <w:tcPr>
            <w:tcW w:w="3598" w:type="dxa"/>
            <w:gridSpan w:val="2"/>
            <w:tcBorders>
              <w:top w:val="nil"/>
              <w:left w:val="nil"/>
              <w:bottom w:val="nil"/>
            </w:tcBorders>
          </w:tcPr>
          <w:p w:rsidR="00321FBB" w:rsidRDefault="007116B1" w:rsidP="007116B1">
            <w:pPr>
              <w:pStyle w:val="Infotext"/>
            </w:pPr>
            <w:r>
              <w:t>Head of Procurement</w:t>
            </w:r>
          </w:p>
        </w:tc>
      </w:tr>
      <w:tr w:rsidR="007116B1" w:rsidTr="005407F9">
        <w:tc>
          <w:tcPr>
            <w:tcW w:w="4310" w:type="dxa"/>
            <w:tcBorders>
              <w:top w:val="nil"/>
              <w:right w:val="nil"/>
            </w:tcBorders>
          </w:tcPr>
          <w:p w:rsidR="00321FBB" w:rsidRDefault="00321FBB" w:rsidP="004809FA">
            <w:pPr>
              <w:pStyle w:val="Infotext"/>
            </w:pPr>
            <w:r>
              <w:t xml:space="preserve"> </w:t>
            </w:r>
          </w:p>
          <w:p w:rsidR="00321FBB" w:rsidRDefault="00321FBB" w:rsidP="009E662D">
            <w:pPr>
              <w:pStyle w:val="Infotext"/>
            </w:pPr>
            <w:r>
              <w:t xml:space="preserve">Date: </w:t>
            </w:r>
            <w:r w:rsidR="00A20D78">
              <w:t xml:space="preserve"> </w:t>
            </w:r>
            <w:r w:rsidR="009B3CDC">
              <w:tab/>
            </w:r>
            <w:r w:rsidR="009E662D">
              <w:t>18</w:t>
            </w:r>
            <w:r w:rsidR="009E662D" w:rsidRPr="005A7C7B">
              <w:rPr>
                <w:vertAlign w:val="superscript"/>
              </w:rPr>
              <w:t>th</w:t>
            </w:r>
            <w:r w:rsidR="009E662D">
              <w:t xml:space="preserve"> February </w:t>
            </w:r>
            <w:r w:rsidR="005B4A47" w:rsidRPr="005B4A47">
              <w:t>2020</w:t>
            </w:r>
          </w:p>
        </w:tc>
        <w:tc>
          <w:tcPr>
            <w:tcW w:w="383" w:type="dxa"/>
            <w:gridSpan w:val="2"/>
            <w:tcBorders>
              <w:left w:val="nil"/>
              <w:bottom w:val="single" w:sz="4" w:space="0" w:color="auto"/>
              <w:right w:val="nil"/>
            </w:tcBorders>
          </w:tcPr>
          <w:p w:rsidR="00321FBB" w:rsidRDefault="00321FBB" w:rsidP="004809FA">
            <w:pPr>
              <w:pStyle w:val="Infotext"/>
            </w:pPr>
          </w:p>
        </w:tc>
        <w:tc>
          <w:tcPr>
            <w:tcW w:w="234" w:type="dxa"/>
            <w:gridSpan w:val="2"/>
            <w:tcBorders>
              <w:top w:val="nil"/>
              <w:left w:val="nil"/>
              <w:right w:val="nil"/>
            </w:tcBorders>
          </w:tcPr>
          <w:p w:rsidR="00321FBB" w:rsidRDefault="00321FBB" w:rsidP="004809FA">
            <w:pPr>
              <w:pStyle w:val="Infotext"/>
            </w:pPr>
          </w:p>
        </w:tc>
        <w:tc>
          <w:tcPr>
            <w:tcW w:w="3598" w:type="dxa"/>
            <w:gridSpan w:val="2"/>
            <w:tcBorders>
              <w:top w:val="nil"/>
              <w:left w:val="nil"/>
            </w:tcBorders>
          </w:tcPr>
          <w:p w:rsidR="00321FBB" w:rsidRDefault="00321FBB" w:rsidP="004809FA">
            <w:pPr>
              <w:pStyle w:val="Infotext"/>
            </w:pPr>
          </w:p>
        </w:tc>
      </w:tr>
    </w:tbl>
    <w:p w:rsidR="00333FAA" w:rsidRDefault="00333FAA"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383"/>
        <w:gridCol w:w="234"/>
        <w:gridCol w:w="3585"/>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A20D78">
            <w:pPr>
              <w:pStyle w:val="Infotext"/>
            </w:pPr>
            <w:r>
              <w:t xml:space="preserve">Name: </w:t>
            </w:r>
            <w:r w:rsidR="00A20D78">
              <w:t xml:space="preserve"> </w:t>
            </w:r>
            <w:r w:rsidR="009B3CDC">
              <w:tab/>
            </w:r>
            <w:r w:rsidR="00553300">
              <w:t>Paul Walker</w:t>
            </w:r>
          </w:p>
        </w:tc>
        <w:tc>
          <w:tcPr>
            <w:tcW w:w="387" w:type="dxa"/>
            <w:tcBorders>
              <w:bottom w:val="single" w:sz="4" w:space="0" w:color="auto"/>
            </w:tcBorders>
          </w:tcPr>
          <w:p w:rsidR="00435B5D" w:rsidRDefault="00242F05" w:rsidP="004F54BD">
            <w:pPr>
              <w:pStyle w:val="Infotext"/>
            </w:pPr>
            <w:r>
              <w:t>x</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4F54BD">
            <w:pPr>
              <w:pStyle w:val="Infotext"/>
            </w:pPr>
            <w:r>
              <w:t>Corporate Director</w:t>
            </w:r>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9B3CDC">
            <w:pPr>
              <w:pStyle w:val="Infotext"/>
            </w:pPr>
            <w:r>
              <w:t xml:space="preserve">Date: </w:t>
            </w:r>
            <w:r w:rsidR="00A20D78">
              <w:t xml:space="preserve"> </w:t>
            </w:r>
            <w:r w:rsidR="009B3CDC">
              <w:tab/>
            </w:r>
            <w:r w:rsidR="00242F05">
              <w:t>28</w:t>
            </w:r>
            <w:r w:rsidR="00242F05" w:rsidRPr="005A7C7B">
              <w:rPr>
                <w:vertAlign w:val="superscript"/>
              </w:rPr>
              <w:t>th</w:t>
            </w:r>
            <w:r w:rsidR="00242F05">
              <w:t xml:space="preserve"> February </w:t>
            </w:r>
            <w:r w:rsidR="005B4A47">
              <w:t>2020</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5B4A47" w:rsidRDefault="00333FAA" w:rsidP="00A53B04">
            <w:pPr>
              <w:pStyle w:val="Infotext"/>
              <w:rPr>
                <w:rFonts w:ascii="Arial Black" w:hAnsi="Arial Black"/>
              </w:rPr>
            </w:pPr>
            <w:r w:rsidRPr="005B4A47">
              <w:rPr>
                <w:rFonts w:ascii="Arial Black" w:hAnsi="Arial Black"/>
              </w:rPr>
              <w:t>Ward Councillors notified:</w:t>
            </w:r>
          </w:p>
          <w:p w:rsidR="00333FAA" w:rsidRPr="005B4A47" w:rsidRDefault="00333FAA" w:rsidP="00A53B04">
            <w:pPr>
              <w:pStyle w:val="Infotext"/>
              <w:rPr>
                <w:color w:val="FF0000"/>
              </w:rPr>
            </w:pPr>
          </w:p>
        </w:tc>
        <w:tc>
          <w:tcPr>
            <w:tcW w:w="1975" w:type="pct"/>
            <w:tcBorders>
              <w:left w:val="nil"/>
            </w:tcBorders>
          </w:tcPr>
          <w:p w:rsidR="00333FAA" w:rsidRPr="005B4A47" w:rsidRDefault="005B4A47" w:rsidP="00A53B04">
            <w:pPr>
              <w:pStyle w:val="Infotext"/>
              <w:spacing w:before="120"/>
              <w:rPr>
                <w:b/>
              </w:rPr>
            </w:pPr>
            <w:r w:rsidRPr="005B4A47">
              <w:rPr>
                <w:b/>
              </w:rPr>
              <w:t>NO</w:t>
            </w:r>
          </w:p>
          <w:p w:rsidR="00333FAA" w:rsidRPr="005B4A47" w:rsidRDefault="00333FAA" w:rsidP="00553300">
            <w:pPr>
              <w:pStyle w:val="Infotext"/>
              <w:rPr>
                <w:i/>
                <w:sz w:val="24"/>
                <w:szCs w:val="24"/>
              </w:rPr>
            </w:pPr>
          </w:p>
        </w:tc>
      </w:tr>
      <w:tr w:rsidR="00333FAA" w:rsidRPr="00303FD6">
        <w:trPr>
          <w:trHeight w:val="965"/>
        </w:trPr>
        <w:tc>
          <w:tcPr>
            <w:tcW w:w="3025" w:type="pct"/>
            <w:tcBorders>
              <w:right w:val="nil"/>
            </w:tcBorders>
          </w:tcPr>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
        </w:tc>
        <w:tc>
          <w:tcPr>
            <w:tcW w:w="1975" w:type="pct"/>
            <w:tcBorders>
              <w:left w:val="nil"/>
            </w:tcBorders>
          </w:tcPr>
          <w:p w:rsidR="00333FAA" w:rsidRPr="00553300" w:rsidRDefault="00553300" w:rsidP="00A53B04">
            <w:pPr>
              <w:pStyle w:val="Infotext"/>
              <w:rPr>
                <w:b/>
              </w:rPr>
            </w:pPr>
            <w:r>
              <w:rPr>
                <w:b/>
              </w:rPr>
              <w:t>NO</w:t>
            </w:r>
          </w:p>
          <w:p w:rsidR="00333FAA" w:rsidRPr="00202D79" w:rsidRDefault="00333FAA" w:rsidP="00A53B04">
            <w:pPr>
              <w:pStyle w:val="Infotext"/>
            </w:pPr>
          </w:p>
          <w:p w:rsidR="00333FAA" w:rsidRPr="00303FD6" w:rsidRDefault="00333FAA" w:rsidP="00A53B04">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53300" w:rsidRDefault="00333FAA" w:rsidP="00333FAA">
      <w:pPr>
        <w:pStyle w:val="Infotext"/>
        <w:rPr>
          <w:color w:val="FF0000"/>
        </w:rPr>
      </w:pPr>
      <w:r w:rsidRPr="00553300">
        <w:t xml:space="preserve">Contact:  </w:t>
      </w:r>
      <w:r w:rsidR="00553300" w:rsidRPr="00553300">
        <w:t xml:space="preserve">Matthew Adams, </w:t>
      </w:r>
      <w:r w:rsidR="00553300" w:rsidRPr="005B4A47">
        <w:t>Principal Lawyer &amp; Climate Emergency Co-ordinating Officer,</w:t>
      </w:r>
      <w:r w:rsidR="00553300" w:rsidRPr="00553300">
        <w:t xml:space="preserve"> 0208</w:t>
      </w:r>
      <w:r w:rsidR="00553300">
        <w:t xml:space="preserve"> </w:t>
      </w:r>
      <w:r w:rsidR="00553300" w:rsidRPr="00553300">
        <w:t>424</w:t>
      </w:r>
      <w:r w:rsidR="00553300">
        <w:t xml:space="preserve"> </w:t>
      </w:r>
      <w:r w:rsidR="00553300" w:rsidRPr="00553300">
        <w:t>1403, matthew.adams@harrow.gov.uk</w:t>
      </w:r>
    </w:p>
    <w:p w:rsidR="00333FAA" w:rsidRPr="00553300" w:rsidRDefault="00333FAA" w:rsidP="00333FAA"/>
    <w:p w:rsidR="00333FAA" w:rsidRPr="00553300" w:rsidRDefault="00333FAA" w:rsidP="00333FAA">
      <w:pPr>
        <w:pStyle w:val="Infotext"/>
      </w:pPr>
      <w:r w:rsidRPr="00553300">
        <w:lastRenderedPageBreak/>
        <w:t xml:space="preserve">Background Papers: </w:t>
      </w:r>
      <w:r w:rsidR="00553300" w:rsidRPr="005B4A47">
        <w:t>None</w:t>
      </w:r>
    </w:p>
    <w:p w:rsidR="005718B5" w:rsidRPr="00AC6312" w:rsidRDefault="005718B5" w:rsidP="00AC6312">
      <w:pPr>
        <w:rPr>
          <w:rFonts w:ascii="Calibri" w:hAnsi="Calibri"/>
          <w:szCs w:val="24"/>
          <w:lang w:eastAsia="en-GB"/>
        </w:rPr>
      </w:pPr>
    </w:p>
    <w:p w:rsidR="005718B5" w:rsidRPr="00AC6312" w:rsidRDefault="005718B5" w:rsidP="005718B5">
      <w:pPr>
        <w:jc w:val="both"/>
        <w:rPr>
          <w:rFonts w:ascii="Calibri" w:hAnsi="Calibri"/>
          <w:szCs w:val="24"/>
          <w:lang w:eastAsia="en-GB"/>
        </w:rPr>
      </w:pPr>
      <w:r w:rsidRPr="00AC6312">
        <w:rPr>
          <w:rFonts w:cs="Arial"/>
          <w:i/>
          <w:iCs/>
          <w:szCs w:val="24"/>
          <w:lang w:eastAsia="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553300">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0D4E36" w:rsidRPr="00DE71D3" w:rsidRDefault="000D4E36" w:rsidP="001614E0"/>
    <w:sectPr w:rsidR="000D4E36" w:rsidRPr="00DE71D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5C" w:rsidRDefault="0038465C">
      <w:r>
        <w:separator/>
      </w:r>
    </w:p>
  </w:endnote>
  <w:endnote w:type="continuationSeparator" w:id="0">
    <w:p w:rsidR="0038465C" w:rsidRDefault="0038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5C" w:rsidRDefault="0038465C">
      <w:r>
        <w:separator/>
      </w:r>
    </w:p>
  </w:footnote>
  <w:footnote w:type="continuationSeparator" w:id="0">
    <w:p w:rsidR="0038465C" w:rsidRDefault="0038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79C6"/>
    <w:multiLevelType w:val="hybridMultilevel"/>
    <w:tmpl w:val="900CC4DE"/>
    <w:lvl w:ilvl="0" w:tplc="1BE0A6E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67EF0"/>
    <w:multiLevelType w:val="hybridMultilevel"/>
    <w:tmpl w:val="6E7624D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6319A"/>
    <w:multiLevelType w:val="hybridMultilevel"/>
    <w:tmpl w:val="09CAFAC8"/>
    <w:lvl w:ilvl="0" w:tplc="AD284EE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D0732C"/>
    <w:multiLevelType w:val="multilevel"/>
    <w:tmpl w:val="40847A3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2"/>
  </w:num>
  <w:num w:numId="6">
    <w:abstractNumId w:val="11"/>
  </w:num>
  <w:num w:numId="7">
    <w:abstractNumId w:val="13"/>
  </w:num>
  <w:num w:numId="8">
    <w:abstractNumId w:val="8"/>
  </w:num>
  <w:num w:numId="9">
    <w:abstractNumId w:val="0"/>
  </w:num>
  <w:num w:numId="10">
    <w:abstractNumId w:val="5"/>
  </w:num>
  <w:num w:numId="11">
    <w:abstractNumId w:val="6"/>
  </w:num>
  <w:num w:numId="12">
    <w:abstractNumId w:val="12"/>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3EED"/>
    <w:rsid w:val="00006F8B"/>
    <w:rsid w:val="00017D41"/>
    <w:rsid w:val="00026881"/>
    <w:rsid w:val="00026BCE"/>
    <w:rsid w:val="000343C6"/>
    <w:rsid w:val="0004029A"/>
    <w:rsid w:val="0004038B"/>
    <w:rsid w:val="00045FF5"/>
    <w:rsid w:val="00054646"/>
    <w:rsid w:val="0006034E"/>
    <w:rsid w:val="00063783"/>
    <w:rsid w:val="00073765"/>
    <w:rsid w:val="000929A6"/>
    <w:rsid w:val="000A2672"/>
    <w:rsid w:val="000A371A"/>
    <w:rsid w:val="000B48D9"/>
    <w:rsid w:val="000B5015"/>
    <w:rsid w:val="000B788F"/>
    <w:rsid w:val="000C0C07"/>
    <w:rsid w:val="000D0F00"/>
    <w:rsid w:val="000D4E05"/>
    <w:rsid w:val="000D4E36"/>
    <w:rsid w:val="000E129D"/>
    <w:rsid w:val="000E49E9"/>
    <w:rsid w:val="000E59D1"/>
    <w:rsid w:val="000E62FE"/>
    <w:rsid w:val="000F6240"/>
    <w:rsid w:val="001161E4"/>
    <w:rsid w:val="00117160"/>
    <w:rsid w:val="00125A26"/>
    <w:rsid w:val="00131B46"/>
    <w:rsid w:val="0015376F"/>
    <w:rsid w:val="001547E9"/>
    <w:rsid w:val="001614E0"/>
    <w:rsid w:val="00163E68"/>
    <w:rsid w:val="00166238"/>
    <w:rsid w:val="00170882"/>
    <w:rsid w:val="00171BD8"/>
    <w:rsid w:val="001746BA"/>
    <w:rsid w:val="0017653E"/>
    <w:rsid w:val="00182B01"/>
    <w:rsid w:val="001840D2"/>
    <w:rsid w:val="0018757E"/>
    <w:rsid w:val="00195578"/>
    <w:rsid w:val="001966D7"/>
    <w:rsid w:val="001971A5"/>
    <w:rsid w:val="001B1C62"/>
    <w:rsid w:val="001B210D"/>
    <w:rsid w:val="001B3817"/>
    <w:rsid w:val="001C3466"/>
    <w:rsid w:val="001C4D2E"/>
    <w:rsid w:val="001C7E35"/>
    <w:rsid w:val="001D596A"/>
    <w:rsid w:val="001E3C06"/>
    <w:rsid w:val="001E72D6"/>
    <w:rsid w:val="001F0037"/>
    <w:rsid w:val="001F0BE9"/>
    <w:rsid w:val="00202D79"/>
    <w:rsid w:val="0020355D"/>
    <w:rsid w:val="00205D2F"/>
    <w:rsid w:val="00210642"/>
    <w:rsid w:val="00215E8F"/>
    <w:rsid w:val="002322BB"/>
    <w:rsid w:val="00242F05"/>
    <w:rsid w:val="0024528C"/>
    <w:rsid w:val="0024652A"/>
    <w:rsid w:val="002477EC"/>
    <w:rsid w:val="0025063C"/>
    <w:rsid w:val="00251254"/>
    <w:rsid w:val="00251498"/>
    <w:rsid w:val="002548D1"/>
    <w:rsid w:val="002679A5"/>
    <w:rsid w:val="0027283B"/>
    <w:rsid w:val="00274B9C"/>
    <w:rsid w:val="0028019B"/>
    <w:rsid w:val="00283CAB"/>
    <w:rsid w:val="002915E7"/>
    <w:rsid w:val="002A3FEF"/>
    <w:rsid w:val="002B54A6"/>
    <w:rsid w:val="002D6871"/>
    <w:rsid w:val="002F3EE9"/>
    <w:rsid w:val="0030655F"/>
    <w:rsid w:val="00307F76"/>
    <w:rsid w:val="00310B77"/>
    <w:rsid w:val="00312AC6"/>
    <w:rsid w:val="0031767E"/>
    <w:rsid w:val="00320767"/>
    <w:rsid w:val="00321FBB"/>
    <w:rsid w:val="003265C2"/>
    <w:rsid w:val="00333FAA"/>
    <w:rsid w:val="003355D7"/>
    <w:rsid w:val="0033562A"/>
    <w:rsid w:val="0035161E"/>
    <w:rsid w:val="0035327C"/>
    <w:rsid w:val="00355170"/>
    <w:rsid w:val="00360B42"/>
    <w:rsid w:val="0036201C"/>
    <w:rsid w:val="003624E3"/>
    <w:rsid w:val="00376768"/>
    <w:rsid w:val="00376B21"/>
    <w:rsid w:val="00381DBA"/>
    <w:rsid w:val="0038465C"/>
    <w:rsid w:val="00385569"/>
    <w:rsid w:val="00394D27"/>
    <w:rsid w:val="0039710F"/>
    <w:rsid w:val="00397FF0"/>
    <w:rsid w:val="003A02CF"/>
    <w:rsid w:val="003A4810"/>
    <w:rsid w:val="003A66DB"/>
    <w:rsid w:val="003C66BA"/>
    <w:rsid w:val="003C689A"/>
    <w:rsid w:val="003C78C0"/>
    <w:rsid w:val="003D39D7"/>
    <w:rsid w:val="003D64D1"/>
    <w:rsid w:val="003F3AFD"/>
    <w:rsid w:val="003F4E35"/>
    <w:rsid w:val="003F6570"/>
    <w:rsid w:val="004076C8"/>
    <w:rsid w:val="004207E3"/>
    <w:rsid w:val="00421A4C"/>
    <w:rsid w:val="004238C2"/>
    <w:rsid w:val="004242B5"/>
    <w:rsid w:val="00435B5D"/>
    <w:rsid w:val="004363F7"/>
    <w:rsid w:val="00444081"/>
    <w:rsid w:val="0044525C"/>
    <w:rsid w:val="004553F1"/>
    <w:rsid w:val="004639A4"/>
    <w:rsid w:val="004649F7"/>
    <w:rsid w:val="004653D0"/>
    <w:rsid w:val="00471C1F"/>
    <w:rsid w:val="004809FA"/>
    <w:rsid w:val="00491E6A"/>
    <w:rsid w:val="004A5707"/>
    <w:rsid w:val="004A7512"/>
    <w:rsid w:val="004B3771"/>
    <w:rsid w:val="004B4451"/>
    <w:rsid w:val="004C3916"/>
    <w:rsid w:val="004C4A75"/>
    <w:rsid w:val="004D2DA0"/>
    <w:rsid w:val="004E14A4"/>
    <w:rsid w:val="004F01C2"/>
    <w:rsid w:val="004F54BD"/>
    <w:rsid w:val="004F56C5"/>
    <w:rsid w:val="004F5D03"/>
    <w:rsid w:val="00500F06"/>
    <w:rsid w:val="00521943"/>
    <w:rsid w:val="005354D0"/>
    <w:rsid w:val="005407F9"/>
    <w:rsid w:val="0054172C"/>
    <w:rsid w:val="00541C6E"/>
    <w:rsid w:val="00545421"/>
    <w:rsid w:val="0054590F"/>
    <w:rsid w:val="005459EC"/>
    <w:rsid w:val="00550D42"/>
    <w:rsid w:val="00553300"/>
    <w:rsid w:val="005718B5"/>
    <w:rsid w:val="00575560"/>
    <w:rsid w:val="005808FB"/>
    <w:rsid w:val="00582605"/>
    <w:rsid w:val="00591016"/>
    <w:rsid w:val="005A7C7B"/>
    <w:rsid w:val="005B3F67"/>
    <w:rsid w:val="005B4A47"/>
    <w:rsid w:val="005B6EFD"/>
    <w:rsid w:val="005C3179"/>
    <w:rsid w:val="005D548F"/>
    <w:rsid w:val="005D6EF5"/>
    <w:rsid w:val="005D7190"/>
    <w:rsid w:val="005E15E8"/>
    <w:rsid w:val="005E3A10"/>
    <w:rsid w:val="005E482E"/>
    <w:rsid w:val="005E7509"/>
    <w:rsid w:val="00603D8F"/>
    <w:rsid w:val="00605AFE"/>
    <w:rsid w:val="00605B4D"/>
    <w:rsid w:val="00623346"/>
    <w:rsid w:val="00645B8B"/>
    <w:rsid w:val="00655044"/>
    <w:rsid w:val="00666922"/>
    <w:rsid w:val="00670F17"/>
    <w:rsid w:val="006710C7"/>
    <w:rsid w:val="0067690F"/>
    <w:rsid w:val="00696A83"/>
    <w:rsid w:val="006A70D3"/>
    <w:rsid w:val="006B1467"/>
    <w:rsid w:val="006B6441"/>
    <w:rsid w:val="006C5449"/>
    <w:rsid w:val="006C580A"/>
    <w:rsid w:val="006D1E69"/>
    <w:rsid w:val="006D660E"/>
    <w:rsid w:val="006D78FC"/>
    <w:rsid w:val="006F057C"/>
    <w:rsid w:val="006F22DA"/>
    <w:rsid w:val="006F2EB3"/>
    <w:rsid w:val="006F6A76"/>
    <w:rsid w:val="00701F65"/>
    <w:rsid w:val="00706EB1"/>
    <w:rsid w:val="007116B1"/>
    <w:rsid w:val="007125F5"/>
    <w:rsid w:val="00714BEE"/>
    <w:rsid w:val="00716D77"/>
    <w:rsid w:val="00717587"/>
    <w:rsid w:val="00721215"/>
    <w:rsid w:val="00725729"/>
    <w:rsid w:val="007261D4"/>
    <w:rsid w:val="007400CF"/>
    <w:rsid w:val="0075618C"/>
    <w:rsid w:val="007623B0"/>
    <w:rsid w:val="00777304"/>
    <w:rsid w:val="00784FE3"/>
    <w:rsid w:val="00786A63"/>
    <w:rsid w:val="007B23FC"/>
    <w:rsid w:val="007B262C"/>
    <w:rsid w:val="007B346D"/>
    <w:rsid w:val="007B5D52"/>
    <w:rsid w:val="007B5FFC"/>
    <w:rsid w:val="007D0017"/>
    <w:rsid w:val="007D0C1D"/>
    <w:rsid w:val="007D2000"/>
    <w:rsid w:val="007D4DBF"/>
    <w:rsid w:val="007D52CC"/>
    <w:rsid w:val="007E1AB3"/>
    <w:rsid w:val="007E2CAD"/>
    <w:rsid w:val="007E4732"/>
    <w:rsid w:val="007E4BA4"/>
    <w:rsid w:val="007F004E"/>
    <w:rsid w:val="007F335A"/>
    <w:rsid w:val="00803104"/>
    <w:rsid w:val="00810AF5"/>
    <w:rsid w:val="008127D1"/>
    <w:rsid w:val="00812901"/>
    <w:rsid w:val="00815B64"/>
    <w:rsid w:val="00820597"/>
    <w:rsid w:val="00822AE9"/>
    <w:rsid w:val="008252B9"/>
    <w:rsid w:val="00825A15"/>
    <w:rsid w:val="00826B9A"/>
    <w:rsid w:val="008310E9"/>
    <w:rsid w:val="008519A3"/>
    <w:rsid w:val="0085266D"/>
    <w:rsid w:val="00856C38"/>
    <w:rsid w:val="008644EC"/>
    <w:rsid w:val="0087454F"/>
    <w:rsid w:val="00875816"/>
    <w:rsid w:val="00875D73"/>
    <w:rsid w:val="00875FC8"/>
    <w:rsid w:val="00876815"/>
    <w:rsid w:val="00877DA3"/>
    <w:rsid w:val="00882237"/>
    <w:rsid w:val="00886D4E"/>
    <w:rsid w:val="00894220"/>
    <w:rsid w:val="008A5AA0"/>
    <w:rsid w:val="008D2C5E"/>
    <w:rsid w:val="008E1FCF"/>
    <w:rsid w:val="008E224D"/>
    <w:rsid w:val="008E49E2"/>
    <w:rsid w:val="008E533D"/>
    <w:rsid w:val="008E5B7A"/>
    <w:rsid w:val="008F00B8"/>
    <w:rsid w:val="0090061A"/>
    <w:rsid w:val="0092530B"/>
    <w:rsid w:val="00925EA9"/>
    <w:rsid w:val="0094208C"/>
    <w:rsid w:val="00942F17"/>
    <w:rsid w:val="00951372"/>
    <w:rsid w:val="00952CEF"/>
    <w:rsid w:val="00955421"/>
    <w:rsid w:val="009763FC"/>
    <w:rsid w:val="00985C77"/>
    <w:rsid w:val="00990E9C"/>
    <w:rsid w:val="00991214"/>
    <w:rsid w:val="009920DB"/>
    <w:rsid w:val="00994542"/>
    <w:rsid w:val="00994908"/>
    <w:rsid w:val="009958A1"/>
    <w:rsid w:val="009B160B"/>
    <w:rsid w:val="009B3CDC"/>
    <w:rsid w:val="009B61B1"/>
    <w:rsid w:val="009B6C4B"/>
    <w:rsid w:val="009C237B"/>
    <w:rsid w:val="009E5A93"/>
    <w:rsid w:val="009E662D"/>
    <w:rsid w:val="009F6F9C"/>
    <w:rsid w:val="00A15D29"/>
    <w:rsid w:val="00A20113"/>
    <w:rsid w:val="00A20D78"/>
    <w:rsid w:val="00A21333"/>
    <w:rsid w:val="00A2215F"/>
    <w:rsid w:val="00A22839"/>
    <w:rsid w:val="00A23E19"/>
    <w:rsid w:val="00A33185"/>
    <w:rsid w:val="00A53B04"/>
    <w:rsid w:val="00A661F4"/>
    <w:rsid w:val="00A7271A"/>
    <w:rsid w:val="00A80041"/>
    <w:rsid w:val="00A81E19"/>
    <w:rsid w:val="00A957E7"/>
    <w:rsid w:val="00AB3007"/>
    <w:rsid w:val="00AB3C8A"/>
    <w:rsid w:val="00AB7790"/>
    <w:rsid w:val="00AB795F"/>
    <w:rsid w:val="00AC51EB"/>
    <w:rsid w:val="00AC6312"/>
    <w:rsid w:val="00AD0B9A"/>
    <w:rsid w:val="00AD6D80"/>
    <w:rsid w:val="00AE1B45"/>
    <w:rsid w:val="00AE3B3D"/>
    <w:rsid w:val="00AF31CE"/>
    <w:rsid w:val="00B06C48"/>
    <w:rsid w:val="00B104BA"/>
    <w:rsid w:val="00B1160D"/>
    <w:rsid w:val="00B15DDD"/>
    <w:rsid w:val="00B15E8C"/>
    <w:rsid w:val="00B243DF"/>
    <w:rsid w:val="00B340F6"/>
    <w:rsid w:val="00B34C4F"/>
    <w:rsid w:val="00B444E6"/>
    <w:rsid w:val="00B45802"/>
    <w:rsid w:val="00B52011"/>
    <w:rsid w:val="00B53EFF"/>
    <w:rsid w:val="00B54AFA"/>
    <w:rsid w:val="00B63235"/>
    <w:rsid w:val="00B671A4"/>
    <w:rsid w:val="00B712D2"/>
    <w:rsid w:val="00B718FD"/>
    <w:rsid w:val="00B7256F"/>
    <w:rsid w:val="00B804E8"/>
    <w:rsid w:val="00B8186B"/>
    <w:rsid w:val="00B91046"/>
    <w:rsid w:val="00BA4E13"/>
    <w:rsid w:val="00BB638C"/>
    <w:rsid w:val="00BB7E93"/>
    <w:rsid w:val="00BC206C"/>
    <w:rsid w:val="00BC39FD"/>
    <w:rsid w:val="00BC431A"/>
    <w:rsid w:val="00BD4BD3"/>
    <w:rsid w:val="00BD5722"/>
    <w:rsid w:val="00BE0F5F"/>
    <w:rsid w:val="00BE56CE"/>
    <w:rsid w:val="00C01A35"/>
    <w:rsid w:val="00C01F6D"/>
    <w:rsid w:val="00C03772"/>
    <w:rsid w:val="00C04EDA"/>
    <w:rsid w:val="00C07210"/>
    <w:rsid w:val="00C119A2"/>
    <w:rsid w:val="00C143DF"/>
    <w:rsid w:val="00C228D5"/>
    <w:rsid w:val="00C23AD6"/>
    <w:rsid w:val="00C43066"/>
    <w:rsid w:val="00C54C75"/>
    <w:rsid w:val="00C57267"/>
    <w:rsid w:val="00C61E92"/>
    <w:rsid w:val="00C62B63"/>
    <w:rsid w:val="00C72B5B"/>
    <w:rsid w:val="00C77929"/>
    <w:rsid w:val="00C85206"/>
    <w:rsid w:val="00C860F8"/>
    <w:rsid w:val="00CD7631"/>
    <w:rsid w:val="00CD7D5D"/>
    <w:rsid w:val="00CE0B04"/>
    <w:rsid w:val="00CE627F"/>
    <w:rsid w:val="00CF0FC4"/>
    <w:rsid w:val="00CF6932"/>
    <w:rsid w:val="00D01FE3"/>
    <w:rsid w:val="00D06CA3"/>
    <w:rsid w:val="00D07F46"/>
    <w:rsid w:val="00D170E5"/>
    <w:rsid w:val="00D302E9"/>
    <w:rsid w:val="00D37F2F"/>
    <w:rsid w:val="00D415B9"/>
    <w:rsid w:val="00D43C8E"/>
    <w:rsid w:val="00D528E8"/>
    <w:rsid w:val="00D56877"/>
    <w:rsid w:val="00D64383"/>
    <w:rsid w:val="00D771D0"/>
    <w:rsid w:val="00D835CF"/>
    <w:rsid w:val="00D856AD"/>
    <w:rsid w:val="00D941E4"/>
    <w:rsid w:val="00DA26FB"/>
    <w:rsid w:val="00DB4B39"/>
    <w:rsid w:val="00DB6404"/>
    <w:rsid w:val="00DB6561"/>
    <w:rsid w:val="00DB6C3D"/>
    <w:rsid w:val="00DB7B3B"/>
    <w:rsid w:val="00DC5ACF"/>
    <w:rsid w:val="00DD0427"/>
    <w:rsid w:val="00DD7468"/>
    <w:rsid w:val="00DE25E9"/>
    <w:rsid w:val="00DE71D3"/>
    <w:rsid w:val="00DE72CF"/>
    <w:rsid w:val="00DE7D3B"/>
    <w:rsid w:val="00DF08A0"/>
    <w:rsid w:val="00E077E8"/>
    <w:rsid w:val="00E13F70"/>
    <w:rsid w:val="00E37FDB"/>
    <w:rsid w:val="00E46E71"/>
    <w:rsid w:val="00E70760"/>
    <w:rsid w:val="00E9253C"/>
    <w:rsid w:val="00E936F0"/>
    <w:rsid w:val="00E93DAC"/>
    <w:rsid w:val="00EA2F88"/>
    <w:rsid w:val="00EB1728"/>
    <w:rsid w:val="00EB45B5"/>
    <w:rsid w:val="00EB54CC"/>
    <w:rsid w:val="00EB5E57"/>
    <w:rsid w:val="00EB61DB"/>
    <w:rsid w:val="00ED4AFD"/>
    <w:rsid w:val="00ED7592"/>
    <w:rsid w:val="00EE3589"/>
    <w:rsid w:val="00EE4FBE"/>
    <w:rsid w:val="00EE55C7"/>
    <w:rsid w:val="00EF2E4B"/>
    <w:rsid w:val="00F33990"/>
    <w:rsid w:val="00F3444A"/>
    <w:rsid w:val="00F52E72"/>
    <w:rsid w:val="00F5649A"/>
    <w:rsid w:val="00F57D90"/>
    <w:rsid w:val="00F6647D"/>
    <w:rsid w:val="00F67DC5"/>
    <w:rsid w:val="00F71656"/>
    <w:rsid w:val="00F73212"/>
    <w:rsid w:val="00F82342"/>
    <w:rsid w:val="00F85643"/>
    <w:rsid w:val="00F877DB"/>
    <w:rsid w:val="00F913B1"/>
    <w:rsid w:val="00F91AE4"/>
    <w:rsid w:val="00F9345C"/>
    <w:rsid w:val="00F93C8B"/>
    <w:rsid w:val="00F93F5F"/>
    <w:rsid w:val="00F959DD"/>
    <w:rsid w:val="00F960D5"/>
    <w:rsid w:val="00FB1231"/>
    <w:rsid w:val="00FB59B2"/>
    <w:rsid w:val="00FC1C5C"/>
    <w:rsid w:val="00FD5752"/>
    <w:rsid w:val="00FE17E2"/>
    <w:rsid w:val="00FE6F84"/>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41C6E"/>
    <w:rPr>
      <w:rFonts w:ascii="Tahoma" w:hAnsi="Tahoma" w:cs="Tahoma"/>
      <w:sz w:val="16"/>
      <w:szCs w:val="16"/>
    </w:rPr>
  </w:style>
  <w:style w:type="character" w:customStyle="1" w:styleId="BalloonTextChar">
    <w:name w:val="Balloon Text Char"/>
    <w:basedOn w:val="DefaultParagraphFont"/>
    <w:link w:val="BalloonText"/>
    <w:rsid w:val="00541C6E"/>
    <w:rPr>
      <w:rFonts w:ascii="Tahoma" w:hAnsi="Tahoma" w:cs="Tahoma"/>
      <w:sz w:val="16"/>
      <w:szCs w:val="16"/>
      <w:lang w:eastAsia="en-US"/>
    </w:rPr>
  </w:style>
  <w:style w:type="paragraph" w:styleId="EndnoteText">
    <w:name w:val="endnote text"/>
    <w:basedOn w:val="Normal"/>
    <w:link w:val="EndnoteTextChar"/>
    <w:rsid w:val="00717587"/>
    <w:rPr>
      <w:sz w:val="20"/>
    </w:rPr>
  </w:style>
  <w:style w:type="character" w:customStyle="1" w:styleId="EndnoteTextChar">
    <w:name w:val="Endnote Text Char"/>
    <w:basedOn w:val="DefaultParagraphFont"/>
    <w:link w:val="EndnoteText"/>
    <w:rsid w:val="00717587"/>
    <w:rPr>
      <w:rFonts w:ascii="Arial" w:hAnsi="Arial"/>
      <w:lang w:eastAsia="en-US"/>
    </w:rPr>
  </w:style>
  <w:style w:type="character" w:styleId="EndnoteReference">
    <w:name w:val="endnote reference"/>
    <w:basedOn w:val="DefaultParagraphFont"/>
    <w:rsid w:val="00717587"/>
    <w:rPr>
      <w:vertAlign w:val="superscript"/>
    </w:rPr>
  </w:style>
  <w:style w:type="character" w:styleId="CommentReference">
    <w:name w:val="annotation reference"/>
    <w:basedOn w:val="DefaultParagraphFont"/>
    <w:rsid w:val="001746BA"/>
    <w:rPr>
      <w:sz w:val="16"/>
      <w:szCs w:val="16"/>
    </w:rPr>
  </w:style>
  <w:style w:type="paragraph" w:styleId="CommentText">
    <w:name w:val="annotation text"/>
    <w:basedOn w:val="Normal"/>
    <w:link w:val="CommentTextChar"/>
    <w:rsid w:val="001746BA"/>
    <w:rPr>
      <w:sz w:val="20"/>
    </w:rPr>
  </w:style>
  <w:style w:type="character" w:customStyle="1" w:styleId="CommentTextChar">
    <w:name w:val="Comment Text Char"/>
    <w:basedOn w:val="DefaultParagraphFont"/>
    <w:link w:val="CommentText"/>
    <w:rsid w:val="001746BA"/>
    <w:rPr>
      <w:rFonts w:ascii="Arial" w:hAnsi="Arial"/>
      <w:lang w:eastAsia="en-US"/>
    </w:rPr>
  </w:style>
  <w:style w:type="paragraph" w:styleId="CommentSubject">
    <w:name w:val="annotation subject"/>
    <w:basedOn w:val="CommentText"/>
    <w:next w:val="CommentText"/>
    <w:link w:val="CommentSubjectChar"/>
    <w:rsid w:val="001746BA"/>
    <w:rPr>
      <w:b/>
      <w:bCs/>
    </w:rPr>
  </w:style>
  <w:style w:type="character" w:customStyle="1" w:styleId="CommentSubjectChar">
    <w:name w:val="Comment Subject Char"/>
    <w:basedOn w:val="CommentTextChar"/>
    <w:link w:val="CommentSubject"/>
    <w:rsid w:val="001746B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41C6E"/>
    <w:rPr>
      <w:rFonts w:ascii="Tahoma" w:hAnsi="Tahoma" w:cs="Tahoma"/>
      <w:sz w:val="16"/>
      <w:szCs w:val="16"/>
    </w:rPr>
  </w:style>
  <w:style w:type="character" w:customStyle="1" w:styleId="BalloonTextChar">
    <w:name w:val="Balloon Text Char"/>
    <w:basedOn w:val="DefaultParagraphFont"/>
    <w:link w:val="BalloonText"/>
    <w:rsid w:val="00541C6E"/>
    <w:rPr>
      <w:rFonts w:ascii="Tahoma" w:hAnsi="Tahoma" w:cs="Tahoma"/>
      <w:sz w:val="16"/>
      <w:szCs w:val="16"/>
      <w:lang w:eastAsia="en-US"/>
    </w:rPr>
  </w:style>
  <w:style w:type="paragraph" w:styleId="EndnoteText">
    <w:name w:val="endnote text"/>
    <w:basedOn w:val="Normal"/>
    <w:link w:val="EndnoteTextChar"/>
    <w:rsid w:val="00717587"/>
    <w:rPr>
      <w:sz w:val="20"/>
    </w:rPr>
  </w:style>
  <w:style w:type="character" w:customStyle="1" w:styleId="EndnoteTextChar">
    <w:name w:val="Endnote Text Char"/>
    <w:basedOn w:val="DefaultParagraphFont"/>
    <w:link w:val="EndnoteText"/>
    <w:rsid w:val="00717587"/>
    <w:rPr>
      <w:rFonts w:ascii="Arial" w:hAnsi="Arial"/>
      <w:lang w:eastAsia="en-US"/>
    </w:rPr>
  </w:style>
  <w:style w:type="character" w:styleId="EndnoteReference">
    <w:name w:val="endnote reference"/>
    <w:basedOn w:val="DefaultParagraphFont"/>
    <w:rsid w:val="00717587"/>
    <w:rPr>
      <w:vertAlign w:val="superscript"/>
    </w:rPr>
  </w:style>
  <w:style w:type="character" w:styleId="CommentReference">
    <w:name w:val="annotation reference"/>
    <w:basedOn w:val="DefaultParagraphFont"/>
    <w:rsid w:val="001746BA"/>
    <w:rPr>
      <w:sz w:val="16"/>
      <w:szCs w:val="16"/>
    </w:rPr>
  </w:style>
  <w:style w:type="paragraph" w:styleId="CommentText">
    <w:name w:val="annotation text"/>
    <w:basedOn w:val="Normal"/>
    <w:link w:val="CommentTextChar"/>
    <w:rsid w:val="001746BA"/>
    <w:rPr>
      <w:sz w:val="20"/>
    </w:rPr>
  </w:style>
  <w:style w:type="character" w:customStyle="1" w:styleId="CommentTextChar">
    <w:name w:val="Comment Text Char"/>
    <w:basedOn w:val="DefaultParagraphFont"/>
    <w:link w:val="CommentText"/>
    <w:rsid w:val="001746BA"/>
    <w:rPr>
      <w:rFonts w:ascii="Arial" w:hAnsi="Arial"/>
      <w:lang w:eastAsia="en-US"/>
    </w:rPr>
  </w:style>
  <w:style w:type="paragraph" w:styleId="CommentSubject">
    <w:name w:val="annotation subject"/>
    <w:basedOn w:val="CommentText"/>
    <w:next w:val="CommentText"/>
    <w:link w:val="CommentSubjectChar"/>
    <w:rsid w:val="001746BA"/>
    <w:rPr>
      <w:b/>
      <w:bCs/>
    </w:rPr>
  </w:style>
  <w:style w:type="character" w:customStyle="1" w:styleId="CommentSubjectChar">
    <w:name w:val="Comment Subject Char"/>
    <w:basedOn w:val="CommentTextChar"/>
    <w:link w:val="CommentSubject"/>
    <w:rsid w:val="001746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8133627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dirty="0"/>
              <a:t>Scope 1 - Harrow's Estimated </a:t>
            </a:r>
            <a:r>
              <a:rPr lang="en-GB" sz="1200" dirty="0" smtClean="0"/>
              <a:t>Direct</a:t>
            </a:r>
            <a:r>
              <a:rPr lang="en-GB" sz="1200" baseline="0" dirty="0" smtClean="0"/>
              <a:t> </a:t>
            </a:r>
            <a:r>
              <a:rPr lang="en-GB" sz="1200" baseline="0" dirty="0"/>
              <a:t>GHG </a:t>
            </a:r>
            <a:r>
              <a:rPr lang="en-GB" sz="1200" baseline="0" dirty="0" smtClean="0"/>
              <a:t>Emissions (TCO</a:t>
            </a:r>
            <a:r>
              <a:rPr lang="en-GB" sz="1200" baseline="-25000" dirty="0" smtClean="0"/>
              <a:t>2</a:t>
            </a:r>
            <a:r>
              <a:rPr lang="en-GB" sz="1200" baseline="0" dirty="0" smtClean="0"/>
              <a:t>e</a:t>
            </a:r>
            <a:r>
              <a:rPr lang="en-GB" sz="1200" baseline="0" dirty="0"/>
              <a:t>)</a:t>
            </a:r>
          </a:p>
          <a:p>
            <a:pPr>
              <a:defRPr/>
            </a:pPr>
            <a:endParaRPr lang="en-GB" dirty="0"/>
          </a:p>
          <a:p>
            <a:pPr>
              <a:defRPr/>
            </a:pPr>
            <a:endParaRPr lang="en-GB" dirty="0"/>
          </a:p>
          <a:p>
            <a:pPr>
              <a:defRPr/>
            </a:pPr>
            <a:endParaRPr lang="en-GB" dirty="0"/>
          </a:p>
        </c:rich>
      </c:tx>
      <c:overlay val="0"/>
    </c:title>
    <c:autoTitleDeleted val="0"/>
    <c:plotArea>
      <c:layout/>
      <c:pieChart>
        <c:varyColors val="1"/>
        <c:ser>
          <c:idx val="0"/>
          <c:order val="0"/>
          <c:dLbls>
            <c:dLbl>
              <c:idx val="0"/>
              <c:layout>
                <c:manualLayout>
                  <c:x val="2.4982052919060794E-2"/>
                  <c:y val="-7.724495830040897E-4"/>
                </c:manualLayout>
              </c:layout>
              <c:tx>
                <c:rich>
                  <a:bodyPr/>
                  <a:lstStyle/>
                  <a:p>
                    <a:r>
                      <a:rPr lang="en-US" sz="1100" b="1"/>
                      <a:t>57.8%</a:t>
                    </a:r>
                  </a:p>
                  <a:p>
                    <a:r>
                      <a:rPr lang="en-US" sz="1100"/>
                      <a:t>Residential Buildings</a:t>
                    </a:r>
                  </a:p>
                  <a:p>
                    <a:r>
                      <a:rPr lang="en-US" sz="1100"/>
                      <a:t>(262,157)</a:t>
                    </a:r>
                    <a:endParaRPr lang="en-US"/>
                  </a:p>
                </c:rich>
              </c:tx>
              <c:dLblPos val="bestFit"/>
              <c:showLegendKey val="0"/>
              <c:showVal val="0"/>
              <c:showCatName val="0"/>
              <c:showSerName val="0"/>
              <c:showPercent val="1"/>
              <c:showBubbleSize val="0"/>
            </c:dLbl>
            <c:dLbl>
              <c:idx val="1"/>
              <c:layout>
                <c:manualLayout>
                  <c:x val="-5.1743302357475589E-2"/>
                  <c:y val="-1.2097179258013437E-2"/>
                </c:manualLayout>
              </c:layout>
              <c:tx>
                <c:rich>
                  <a:bodyPr/>
                  <a:lstStyle/>
                  <a:p>
                    <a:r>
                      <a:rPr lang="en-US" sz="1100" b="1"/>
                      <a:t>26.5%</a:t>
                    </a:r>
                    <a:r>
                      <a:rPr lang="en-US" sz="1100" b="1" baseline="0"/>
                      <a:t> </a:t>
                    </a:r>
                    <a:r>
                      <a:rPr lang="en-US" sz="1100"/>
                      <a:t>Road</a:t>
                    </a:r>
                  </a:p>
                  <a:p>
                    <a:r>
                      <a:rPr lang="en-US" sz="1100"/>
                      <a:t>Transport (120,303)</a:t>
                    </a:r>
                    <a:endParaRPr lang="en-US"/>
                  </a:p>
                </c:rich>
              </c:tx>
              <c:dLblPos val="bestFit"/>
              <c:showLegendKey val="0"/>
              <c:showVal val="0"/>
              <c:showCatName val="0"/>
              <c:showSerName val="0"/>
              <c:showPercent val="1"/>
              <c:showBubbleSize val="0"/>
            </c:dLbl>
            <c:dLbl>
              <c:idx val="2"/>
              <c:layout>
                <c:manualLayout>
                  <c:x val="-9.8908508547593962E-2"/>
                  <c:y val="7.3585628491658603E-2"/>
                </c:manualLayout>
              </c:layout>
              <c:tx>
                <c:rich>
                  <a:bodyPr/>
                  <a:lstStyle/>
                  <a:p>
                    <a:r>
                      <a:rPr lang="en-US" sz="1100" b="1"/>
                      <a:t>4.6%</a:t>
                    </a:r>
                  </a:p>
                  <a:p>
                    <a:r>
                      <a:rPr lang="en-US" sz="1100"/>
                      <a:t>Institutional</a:t>
                    </a:r>
                    <a:r>
                      <a:rPr lang="en-US" sz="1100" baseline="0"/>
                      <a:t> Buildings &amp; Facilities</a:t>
                    </a:r>
                  </a:p>
                  <a:p>
                    <a:r>
                      <a:rPr lang="en-US" sz="1100" baseline="0"/>
                      <a:t>(20,664)</a:t>
                    </a:r>
                    <a:endParaRPr lang="en-US"/>
                  </a:p>
                </c:rich>
              </c:tx>
              <c:dLblPos val="bestFit"/>
              <c:showLegendKey val="0"/>
              <c:showVal val="0"/>
              <c:showCatName val="0"/>
              <c:showSerName val="0"/>
              <c:showPercent val="1"/>
              <c:showBubbleSize val="0"/>
            </c:dLbl>
            <c:dLbl>
              <c:idx val="3"/>
              <c:layout>
                <c:manualLayout>
                  <c:x val="-0.13264855684859181"/>
                  <c:y val="-5.8108123937171505E-2"/>
                </c:manualLayout>
              </c:layout>
              <c:tx>
                <c:rich>
                  <a:bodyPr/>
                  <a:lstStyle/>
                  <a:p>
                    <a:r>
                      <a:rPr lang="en-US" sz="1100" b="1"/>
                      <a:t>3.6%</a:t>
                    </a:r>
                  </a:p>
                  <a:p>
                    <a:r>
                      <a:rPr lang="en-US" sz="1100"/>
                      <a:t>Industrial Buildings &amp; Facilities</a:t>
                    </a:r>
                  </a:p>
                  <a:p>
                    <a:r>
                      <a:rPr lang="en-US" sz="1100"/>
                      <a:t>(16,346)</a:t>
                    </a:r>
                    <a:endParaRPr lang="en-US"/>
                  </a:p>
                </c:rich>
              </c:tx>
              <c:dLblPos val="bestFit"/>
              <c:showLegendKey val="0"/>
              <c:showVal val="0"/>
              <c:showCatName val="0"/>
              <c:showSerName val="0"/>
              <c:showPercent val="1"/>
              <c:showBubbleSize val="0"/>
            </c:dLbl>
            <c:dLbl>
              <c:idx val="4"/>
              <c:layout>
                <c:manualLayout>
                  <c:x val="1.016958690974439E-2"/>
                  <c:y val="-2.8677983672277359E-2"/>
                </c:manualLayout>
              </c:layout>
              <c:tx>
                <c:rich>
                  <a:bodyPr/>
                  <a:lstStyle/>
                  <a:p>
                    <a:r>
                      <a:rPr lang="en-US" sz="1100" b="1"/>
                      <a:t>3.4%</a:t>
                    </a:r>
                  </a:p>
                  <a:p>
                    <a:r>
                      <a:rPr lang="en-US" sz="1100"/>
                      <a:t>Waste Water</a:t>
                    </a:r>
                  </a:p>
                  <a:p>
                    <a:r>
                      <a:rPr lang="en-US" sz="1100"/>
                      <a:t>(15,576)</a:t>
                    </a:r>
                    <a:endParaRPr lang="en-US"/>
                  </a:p>
                </c:rich>
              </c:tx>
              <c:dLblPos val="bestFit"/>
              <c:showLegendKey val="0"/>
              <c:showVal val="0"/>
              <c:showCatName val="0"/>
              <c:showSerName val="0"/>
              <c:showPercent val="1"/>
              <c:showBubbleSize val="0"/>
            </c:dLbl>
            <c:dLbl>
              <c:idx val="5"/>
              <c:layout>
                <c:manualLayout>
                  <c:x val="9.6096792912977305E-2"/>
                  <c:y val="-5.3479393874249305E-2"/>
                </c:manualLayout>
              </c:layout>
              <c:tx>
                <c:rich>
                  <a:bodyPr/>
                  <a:lstStyle/>
                  <a:p>
                    <a:r>
                      <a:rPr lang="en-US" sz="1100" b="1"/>
                      <a:t>3%</a:t>
                    </a:r>
                  </a:p>
                  <a:p>
                    <a:r>
                      <a:rPr lang="en-US" sz="1100"/>
                      <a:t>Commercial</a:t>
                    </a:r>
                    <a:r>
                      <a:rPr lang="en-US" sz="1100" baseline="0"/>
                      <a:t> Buildings &amp; Facilities</a:t>
                    </a:r>
                  </a:p>
                  <a:p>
                    <a:r>
                      <a:rPr lang="en-US" sz="1100" baseline="0"/>
                      <a:t>(13,350)</a:t>
                    </a:r>
                    <a:endParaRPr lang="en-US"/>
                  </a:p>
                </c:rich>
              </c:tx>
              <c:dLblPos val="bestFit"/>
              <c:showLegendKey val="0"/>
              <c:showVal val="0"/>
              <c:showCatName val="0"/>
              <c:showSerName val="0"/>
              <c:showPercent val="1"/>
              <c:showBubbleSize val="0"/>
            </c:dLbl>
            <c:dLbl>
              <c:idx val="6"/>
              <c:layout>
                <c:manualLayout>
                  <c:x val="0.1905535307295953"/>
                  <c:y val="1.9629425983038882E-2"/>
                </c:manualLayout>
              </c:layout>
              <c:tx>
                <c:rich>
                  <a:bodyPr/>
                  <a:lstStyle/>
                  <a:p>
                    <a:r>
                      <a:rPr lang="en-US" sz="1100" b="1"/>
                      <a:t>1.1%</a:t>
                    </a:r>
                  </a:p>
                  <a:p>
                    <a:r>
                      <a:rPr lang="en-US" sz="1100"/>
                      <a:t>Solid waste</a:t>
                    </a:r>
                    <a:r>
                      <a:rPr lang="en-US" sz="1100" baseline="0"/>
                      <a:t> Disposal</a:t>
                    </a:r>
                  </a:p>
                  <a:p>
                    <a:r>
                      <a:rPr lang="en-US" sz="1100" baseline="0"/>
                      <a:t>(4,926)</a:t>
                    </a:r>
                    <a:endParaRPr lang="en-US"/>
                  </a:p>
                </c:rich>
              </c:tx>
              <c:dLblPos val="bestFit"/>
              <c:showLegendKey val="0"/>
              <c:showVal val="0"/>
              <c:showCatName val="0"/>
              <c:showSerName val="0"/>
              <c:showPercent val="1"/>
              <c:showBubbleSize val="0"/>
            </c:dLbl>
            <c:txPr>
              <a:bodyPr/>
              <a:lstStyle/>
              <a:p>
                <a:pPr>
                  <a:defRPr sz="1100"/>
                </a:pPr>
                <a:endParaRPr lang="en-US"/>
              </a:p>
            </c:txPr>
            <c:dLblPos val="bestFit"/>
            <c:showLegendKey val="0"/>
            <c:showVal val="0"/>
            <c:showCatName val="0"/>
            <c:showSerName val="0"/>
            <c:showPercent val="1"/>
            <c:showBubbleSize val="0"/>
            <c:showLeaderLines val="1"/>
          </c:dLbls>
          <c:val>
            <c:numRef>
              <c:f>'SCOPE 1'!$A$1:$A$7</c:f>
              <c:numCache>
                <c:formatCode>General</c:formatCode>
                <c:ptCount val="7"/>
                <c:pt idx="0">
                  <c:v>262157</c:v>
                </c:pt>
                <c:pt idx="1">
                  <c:v>120303</c:v>
                </c:pt>
                <c:pt idx="2">
                  <c:v>20664</c:v>
                </c:pt>
                <c:pt idx="3">
                  <c:v>16346</c:v>
                </c:pt>
                <c:pt idx="4">
                  <c:v>15576</c:v>
                </c:pt>
                <c:pt idx="5">
                  <c:v>13350</c:v>
                </c:pt>
                <c:pt idx="6">
                  <c:v>4925</c:v>
                </c:pt>
              </c:numCache>
            </c:numRef>
          </c:val>
        </c:ser>
        <c:dLbls>
          <c:dLblPos val="bestFit"/>
          <c:showLegendKey val="0"/>
          <c:showVal val="0"/>
          <c:showCatName val="0"/>
          <c:showSerName val="0"/>
          <c:showPercent val="1"/>
          <c:showBubbleSize val="0"/>
          <c:showLeaderLines val="1"/>
        </c:dLbls>
        <c:firstSliceAng val="0"/>
      </c:pieChart>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200" b="1" i="0" baseline="0" dirty="0">
                <a:effectLst/>
              </a:rPr>
              <a:t>Scope 2 - Harrow's Estimated </a:t>
            </a:r>
            <a:r>
              <a:rPr lang="en-GB" sz="1200" b="1" i="0" baseline="0" dirty="0" smtClean="0">
                <a:effectLst/>
              </a:rPr>
              <a:t>Indirect Electricity related </a:t>
            </a:r>
            <a:r>
              <a:rPr lang="en-GB" sz="1200" b="1" i="0" baseline="0" dirty="0">
                <a:effectLst/>
              </a:rPr>
              <a:t>GHG </a:t>
            </a:r>
            <a:r>
              <a:rPr lang="en-GB" sz="1200" b="1" i="0" baseline="0" dirty="0" smtClean="0">
                <a:effectLst/>
              </a:rPr>
              <a:t>Emissions</a:t>
            </a:r>
            <a:r>
              <a:rPr lang="en-GB" sz="1200" b="1" i="0" baseline="0" dirty="0">
                <a:effectLst/>
              </a:rPr>
              <a:t> </a:t>
            </a:r>
            <a:r>
              <a:rPr lang="en-GB" sz="1200" b="1" i="0" baseline="0" dirty="0" smtClean="0">
                <a:effectLst/>
              </a:rPr>
              <a:t>(TCO</a:t>
            </a:r>
            <a:r>
              <a:rPr lang="en-GB" sz="1200" b="1" i="0" baseline="-25000" dirty="0" smtClean="0">
                <a:effectLst/>
              </a:rPr>
              <a:t>2</a:t>
            </a:r>
            <a:r>
              <a:rPr lang="en-GB" sz="1200" b="1" i="0" baseline="0" dirty="0" smtClean="0">
                <a:effectLst/>
              </a:rPr>
              <a:t>e</a:t>
            </a:r>
            <a:r>
              <a:rPr lang="en-GB" sz="1200" b="1" i="0" baseline="0" dirty="0">
                <a:effectLst/>
              </a:rPr>
              <a:t>)</a:t>
            </a:r>
          </a:p>
          <a:p>
            <a:pPr algn="ctr">
              <a:defRPr/>
            </a:pPr>
            <a:endParaRPr lang="en-GB" sz="1200" b="1" i="0" baseline="0" dirty="0">
              <a:effectLst/>
            </a:endParaRPr>
          </a:p>
          <a:p>
            <a:pPr algn="ctr">
              <a:defRPr/>
            </a:pPr>
            <a:endParaRPr lang="en-GB" sz="1200" b="1" i="0" baseline="0" dirty="0">
              <a:effectLst/>
            </a:endParaRPr>
          </a:p>
          <a:p>
            <a:pPr algn="ctr">
              <a:defRPr/>
            </a:pPr>
            <a:endParaRPr lang="en-GB" sz="1800" b="1" i="0" baseline="0" dirty="0">
              <a:effectLst/>
            </a:endParaRPr>
          </a:p>
          <a:p>
            <a:pPr algn="ctr">
              <a:defRPr/>
            </a:pPr>
            <a:endParaRPr lang="en-GB" dirty="0">
              <a:effectLst/>
            </a:endParaRPr>
          </a:p>
        </c:rich>
      </c:tx>
      <c:layout>
        <c:manualLayout>
          <c:xMode val="edge"/>
          <c:yMode val="edge"/>
          <c:x val="0.13563734392950713"/>
          <c:y val="2.7336427093657169E-2"/>
        </c:manualLayout>
      </c:layout>
      <c:overlay val="0"/>
    </c:title>
    <c:autoTitleDeleted val="0"/>
    <c:plotArea>
      <c:layout/>
      <c:pieChart>
        <c:varyColors val="1"/>
        <c:ser>
          <c:idx val="0"/>
          <c:order val="0"/>
          <c:dLbls>
            <c:dLbl>
              <c:idx val="0"/>
              <c:layout>
                <c:manualLayout>
                  <c:x val="8.3561892041601315E-3"/>
                  <c:y val="-1.5522874663088639E-2"/>
                </c:manualLayout>
              </c:layout>
              <c:tx>
                <c:rich>
                  <a:bodyPr/>
                  <a:lstStyle/>
                  <a:p>
                    <a:r>
                      <a:rPr lang="en-US" sz="1100" b="1"/>
                      <a:t>61%</a:t>
                    </a:r>
                  </a:p>
                  <a:p>
                    <a:r>
                      <a:rPr lang="en-US" sz="1100"/>
                      <a:t>Residential</a:t>
                    </a:r>
                    <a:r>
                      <a:rPr lang="en-US" sz="1100" baseline="0"/>
                      <a:t> Buildings</a:t>
                    </a:r>
                  </a:p>
                  <a:p>
                    <a:r>
                      <a:rPr lang="en-US" sz="1100" baseline="0"/>
                      <a:t>(124,740)</a:t>
                    </a:r>
                    <a:endParaRPr lang="en-US"/>
                  </a:p>
                </c:rich>
              </c:tx>
              <c:showLegendKey val="0"/>
              <c:showVal val="0"/>
              <c:showCatName val="0"/>
              <c:showSerName val="0"/>
              <c:showPercent val="1"/>
              <c:showBubbleSize val="0"/>
            </c:dLbl>
            <c:dLbl>
              <c:idx val="1"/>
              <c:layout>
                <c:manualLayout>
                  <c:x val="-4.317493005681982E-2"/>
                  <c:y val="-1.2925105865879574E-2"/>
                </c:manualLayout>
              </c:layout>
              <c:tx>
                <c:rich>
                  <a:bodyPr/>
                  <a:lstStyle/>
                  <a:p>
                    <a:r>
                      <a:rPr lang="en-US" sz="1100" b="1"/>
                      <a:t>22%</a:t>
                    </a:r>
                  </a:p>
                  <a:p>
                    <a:r>
                      <a:rPr lang="en-US" sz="1100"/>
                      <a:t>Institutional Buildings </a:t>
                    </a:r>
                  </a:p>
                  <a:p>
                    <a:r>
                      <a:rPr lang="en-US" sz="1100"/>
                      <a:t>&amp; Facilities</a:t>
                    </a:r>
                  </a:p>
                  <a:p>
                    <a:r>
                      <a:rPr lang="en-US" sz="1100"/>
                      <a:t>(44,901)</a:t>
                    </a:r>
                    <a:endParaRPr lang="en-US"/>
                  </a:p>
                </c:rich>
              </c:tx>
              <c:showLegendKey val="0"/>
              <c:showVal val="0"/>
              <c:showCatName val="0"/>
              <c:showSerName val="0"/>
              <c:showPercent val="1"/>
              <c:showBubbleSize val="0"/>
            </c:dLbl>
            <c:dLbl>
              <c:idx val="2"/>
              <c:layout>
                <c:manualLayout>
                  <c:x val="-6.939725729550078E-2"/>
                  <c:y val="-8.6502359850758569E-3"/>
                </c:manualLayout>
              </c:layout>
              <c:tx>
                <c:rich>
                  <a:bodyPr/>
                  <a:lstStyle/>
                  <a:p>
                    <a:r>
                      <a:rPr lang="en-US" sz="1100" b="1"/>
                      <a:t>12.7%</a:t>
                    </a:r>
                  </a:p>
                  <a:p>
                    <a:r>
                      <a:rPr lang="en-US" sz="1100"/>
                      <a:t>Industrial Buildings</a:t>
                    </a:r>
                  </a:p>
                  <a:p>
                    <a:r>
                      <a:rPr lang="en-US" sz="1100"/>
                      <a:t>&amp; Facilities</a:t>
                    </a:r>
                  </a:p>
                  <a:p>
                    <a:r>
                      <a:rPr lang="en-US" sz="1100"/>
                      <a:t>(26,028)</a:t>
                    </a:r>
                  </a:p>
                  <a:p>
                    <a:endParaRPr lang="en-US"/>
                  </a:p>
                </c:rich>
              </c:tx>
              <c:showLegendKey val="0"/>
              <c:showVal val="0"/>
              <c:showCatName val="0"/>
              <c:showSerName val="0"/>
              <c:showPercent val="1"/>
              <c:showBubbleSize val="0"/>
            </c:dLbl>
            <c:dLbl>
              <c:idx val="3"/>
              <c:layout>
                <c:manualLayout>
                  <c:x val="0.22900961344329002"/>
                  <c:y val="8.5197085790285326E-3"/>
                </c:manualLayout>
              </c:layout>
              <c:tx>
                <c:rich>
                  <a:bodyPr/>
                  <a:lstStyle/>
                  <a:p>
                    <a:r>
                      <a:rPr lang="en-US" sz="1100" b="1"/>
                      <a:t>4.3%</a:t>
                    </a:r>
                  </a:p>
                  <a:p>
                    <a:r>
                      <a:rPr lang="en-US" sz="1100"/>
                      <a:t>Commercial Buildings &amp; Facilities</a:t>
                    </a:r>
                  </a:p>
                  <a:p>
                    <a:r>
                      <a:rPr lang="en-US" sz="1100"/>
                      <a:t>(8,886)</a:t>
                    </a:r>
                    <a:endParaRPr lang="en-US"/>
                  </a:p>
                </c:rich>
              </c:tx>
              <c:showLegendKey val="0"/>
              <c:showVal val="0"/>
              <c:showCatName val="0"/>
              <c:showSerName val="0"/>
              <c:showPercent val="1"/>
              <c:showBubbleSize val="0"/>
            </c:dLbl>
            <c:txPr>
              <a:bodyPr/>
              <a:lstStyle/>
              <a:p>
                <a:pPr>
                  <a:defRPr sz="1100"/>
                </a:pPr>
                <a:endParaRPr lang="en-US"/>
              </a:p>
            </c:txPr>
            <c:showLegendKey val="0"/>
            <c:showVal val="0"/>
            <c:showCatName val="0"/>
            <c:showSerName val="0"/>
            <c:showPercent val="1"/>
            <c:showBubbleSize val="0"/>
            <c:showLeaderLines val="1"/>
          </c:dLbls>
          <c:val>
            <c:numRef>
              <c:f>'SCOPE 2'!$A$1:$A$4</c:f>
              <c:numCache>
                <c:formatCode>General</c:formatCode>
                <c:ptCount val="4"/>
                <c:pt idx="0">
                  <c:v>124740</c:v>
                </c:pt>
                <c:pt idx="1">
                  <c:v>44901</c:v>
                </c:pt>
                <c:pt idx="2">
                  <c:v>26028</c:v>
                </c:pt>
                <c:pt idx="3">
                  <c:v>8886</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0.0207</cdr:x>
      <cdr:y>0.8487</cdr:y>
    </cdr:from>
    <cdr:to>
      <cdr:x>0.30395</cdr:x>
      <cdr:y>1</cdr:y>
    </cdr:to>
    <cdr:sp macro="" textlink="">
      <cdr:nvSpPr>
        <cdr:cNvPr id="2" name="TextBox 1"/>
        <cdr:cNvSpPr txBox="1"/>
      </cdr:nvSpPr>
      <cdr:spPr>
        <a:xfrm xmlns:a="http://schemas.openxmlformats.org/drawingml/2006/main">
          <a:off x="109181" y="3978322"/>
          <a:ext cx="1493945" cy="709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dirty="0"/>
            <a:t>Total Scope 1 Emissions</a:t>
          </a:r>
        </a:p>
        <a:p xmlns:a="http://schemas.openxmlformats.org/drawingml/2006/main">
          <a:r>
            <a:rPr lang="en-GB" sz="1000" b="1" dirty="0"/>
            <a:t>453,322</a:t>
          </a:r>
        </a:p>
      </cdr:txBody>
    </cdr:sp>
  </cdr:relSizeAnchor>
  <cdr:relSizeAnchor xmlns:cdr="http://schemas.openxmlformats.org/drawingml/2006/chartDrawing">
    <cdr:from>
      <cdr:x>0.69903</cdr:x>
      <cdr:y>0.90549</cdr:y>
    </cdr:from>
    <cdr:to>
      <cdr:x>0.99622</cdr:x>
      <cdr:y>0.99232</cdr:y>
    </cdr:to>
    <cdr:sp macro="" textlink="">
      <cdr:nvSpPr>
        <cdr:cNvPr id="4" name="TextBox 3"/>
        <cdr:cNvSpPr txBox="1"/>
      </cdr:nvSpPr>
      <cdr:spPr>
        <a:xfrm xmlns:a="http://schemas.openxmlformats.org/drawingml/2006/main">
          <a:off x="5184576" y="5256584"/>
          <a:ext cx="2204206" cy="5040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dirty="0"/>
            <a:t>Source: SCATTER Emissions</a:t>
          </a:r>
          <a:r>
            <a:rPr lang="en-GB" sz="800" baseline="0" dirty="0"/>
            <a:t> Tool</a:t>
          </a:r>
          <a:r>
            <a:rPr lang="en-GB" sz="800" dirty="0"/>
            <a:t> (https://scattercities.com</a:t>
          </a:r>
          <a:r>
            <a:rPr lang="en-GB" sz="1000" dirty="0"/>
            <a:t>)</a:t>
          </a:r>
        </a:p>
      </cdr:txBody>
    </cdr:sp>
  </cdr:relSizeAnchor>
</c:userShapes>
</file>

<file path=word/drawings/drawing2.xml><?xml version="1.0" encoding="utf-8"?>
<c:userShapes xmlns:c="http://schemas.openxmlformats.org/drawingml/2006/chart">
  <cdr:relSizeAnchor xmlns:cdr="http://schemas.openxmlformats.org/drawingml/2006/chartDrawing">
    <cdr:from>
      <cdr:x>0.7</cdr:x>
      <cdr:y>0.90244</cdr:y>
    </cdr:from>
    <cdr:to>
      <cdr:x>0.99688</cdr:x>
      <cdr:y>0.95069</cdr:y>
    </cdr:to>
    <cdr:sp macro="" textlink="">
      <cdr:nvSpPr>
        <cdr:cNvPr id="2" name="TextBox 1"/>
        <cdr:cNvSpPr txBox="1"/>
      </cdr:nvSpPr>
      <cdr:spPr>
        <a:xfrm xmlns:a="http://schemas.openxmlformats.org/drawingml/2006/main">
          <a:off x="5544616" y="5328592"/>
          <a:ext cx="2351551" cy="28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dirty="0"/>
            <a:t>Source: SCATTER Emissions</a:t>
          </a:r>
          <a:r>
            <a:rPr lang="en-GB" sz="800" baseline="0" dirty="0"/>
            <a:t> Tool</a:t>
          </a:r>
          <a:r>
            <a:rPr lang="en-GB" sz="800" dirty="0"/>
            <a:t> (https://scattercities.com</a:t>
          </a:r>
          <a:r>
            <a:rPr lang="en-GB" sz="1100" dirty="0"/>
            <a:t>)</a:t>
          </a:r>
        </a:p>
      </cdr:txBody>
    </cdr:sp>
  </cdr:relSizeAnchor>
  <cdr:relSizeAnchor xmlns:cdr="http://schemas.openxmlformats.org/drawingml/2006/chartDrawing">
    <cdr:from>
      <cdr:x>0</cdr:x>
      <cdr:y>0.89024</cdr:y>
    </cdr:from>
    <cdr:to>
      <cdr:x>0.37481</cdr:x>
      <cdr:y>0.97454</cdr:y>
    </cdr:to>
    <cdr:sp macro="" textlink="">
      <cdr:nvSpPr>
        <cdr:cNvPr id="3" name="TextBox 1"/>
        <cdr:cNvSpPr txBox="1"/>
      </cdr:nvSpPr>
      <cdr:spPr>
        <a:xfrm xmlns:a="http://schemas.openxmlformats.org/drawingml/2006/main">
          <a:off x="0" y="5256584"/>
          <a:ext cx="2968816" cy="4977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b="1" dirty="0"/>
            <a:t>Total Scope 2 Emissions</a:t>
          </a:r>
        </a:p>
        <a:p xmlns:a="http://schemas.openxmlformats.org/drawingml/2006/main">
          <a:r>
            <a:rPr lang="en-GB" sz="1000" b="1" dirty="0"/>
            <a:t>204,555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54c1341a-f0b2-450a-9883-97eea039321e"/>
    <ds:schemaRef ds:uri="http://purl.org/dc/terms/"/>
    <ds:schemaRef ds:uri="e48e9339-ef40-4192-ab59-a15ba5582753"/>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E84B2A-F5A9-46B8-8A33-F9767769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5108</Words>
  <Characters>28083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33125</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2020-02-28T11:01:00Z</cp:lastPrinted>
  <dcterms:created xsi:type="dcterms:W3CDTF">2020-03-09T11:23:00Z</dcterms:created>
  <dcterms:modified xsi:type="dcterms:W3CDTF">2020-03-11T10:47:00Z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